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B4C" w:rsidRDefault="0048695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企业战略管理总表</w:t>
      </w:r>
    </w:p>
    <w:tbl>
      <w:tblPr>
        <w:tblStyle w:val="a5"/>
        <w:tblW w:w="13455" w:type="dxa"/>
        <w:tblLayout w:type="fixed"/>
        <w:tblLook w:val="04A0"/>
      </w:tblPr>
      <w:tblGrid>
        <w:gridCol w:w="973"/>
        <w:gridCol w:w="1262"/>
        <w:gridCol w:w="1630"/>
        <w:gridCol w:w="1918"/>
        <w:gridCol w:w="1918"/>
        <w:gridCol w:w="1918"/>
        <w:gridCol w:w="1918"/>
        <w:gridCol w:w="1918"/>
      </w:tblGrid>
      <w:tr w:rsidR="00BF3B4C">
        <w:trPr>
          <w:trHeight w:val="413"/>
        </w:trPr>
        <w:tc>
          <w:tcPr>
            <w:tcW w:w="2235" w:type="dxa"/>
            <w:gridSpan w:val="2"/>
            <w:tcBorders>
              <w:bottom w:val="single" w:sz="4" w:space="0" w:color="auto"/>
              <w:tl2br w:val="nil"/>
            </w:tcBorders>
          </w:tcPr>
          <w:p w:rsidR="00BF3B4C" w:rsidRDefault="00486957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企业战略管理概述</w:t>
            </w:r>
          </w:p>
          <w:p w:rsidR="00BF3B4C" w:rsidRDefault="00BF3B4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630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战略管理概念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战略管理特点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战略管理</w:t>
            </w:r>
            <w:r w:rsidR="00453DBD">
              <w:rPr>
                <w:rFonts w:hint="eastAsia"/>
              </w:rPr>
              <w:t>本质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战略管理过程</w:t>
            </w:r>
          </w:p>
        </w:tc>
        <w:tc>
          <w:tcPr>
            <w:tcW w:w="3836" w:type="dxa"/>
            <w:gridSpan w:val="2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企业战略管理思想史</w:t>
            </w:r>
          </w:p>
        </w:tc>
      </w:tr>
      <w:tr w:rsidR="00BF3B4C">
        <w:trPr>
          <w:trHeight w:val="413"/>
        </w:trPr>
        <w:tc>
          <w:tcPr>
            <w:tcW w:w="2235" w:type="dxa"/>
            <w:gridSpan w:val="2"/>
            <w:tcBorders>
              <w:tl2br w:val="nil"/>
            </w:tcBorders>
          </w:tcPr>
          <w:p w:rsidR="00BF3B4C" w:rsidRDefault="00486957">
            <w:pPr>
              <w:spacing w:after="0"/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3836" w:type="dxa"/>
            <w:gridSpan w:val="2"/>
          </w:tcPr>
          <w:p w:rsidR="00BF3B4C" w:rsidRDefault="00BF3B4C">
            <w:pPr>
              <w:spacing w:after="0"/>
            </w:pPr>
          </w:p>
        </w:tc>
      </w:tr>
      <w:tr w:rsidR="00BF3B4C">
        <w:trPr>
          <w:trHeight w:val="413"/>
        </w:trPr>
        <w:tc>
          <w:tcPr>
            <w:tcW w:w="973" w:type="dxa"/>
            <w:vMerge w:val="restart"/>
            <w:tcBorders>
              <w:tl2br w:val="nil"/>
            </w:tcBorders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企业战略分析</w:t>
            </w:r>
          </w:p>
        </w:tc>
        <w:tc>
          <w:tcPr>
            <w:tcW w:w="1262" w:type="dxa"/>
            <w:vMerge w:val="restart"/>
            <w:tcBorders>
              <w:tl2br w:val="nil"/>
            </w:tcBorders>
          </w:tcPr>
          <w:p w:rsidR="00BF3B4C" w:rsidRDefault="00486957">
            <w:pPr>
              <w:spacing w:after="0"/>
              <w:jc w:val="center"/>
            </w:pPr>
            <w:r>
              <w:rPr>
                <w:rFonts w:hint="eastAsia"/>
              </w:rPr>
              <w:t>分析对象</w:t>
            </w:r>
          </w:p>
        </w:tc>
        <w:tc>
          <w:tcPr>
            <w:tcW w:w="5466" w:type="dxa"/>
            <w:gridSpan w:val="3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企业环境分析</w:t>
            </w:r>
          </w:p>
        </w:tc>
        <w:tc>
          <w:tcPr>
            <w:tcW w:w="5754" w:type="dxa"/>
            <w:gridSpan w:val="3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企业</w:t>
            </w:r>
            <w:r w:rsidR="00453DBD">
              <w:rPr>
                <w:rFonts w:hint="eastAsia"/>
              </w:rPr>
              <w:t>资源和</w:t>
            </w:r>
            <w:r>
              <w:rPr>
                <w:rFonts w:hint="eastAsia"/>
              </w:rPr>
              <w:t>能力</w:t>
            </w:r>
            <w:bookmarkStart w:id="0" w:name="_GoBack"/>
            <w:bookmarkEnd w:id="0"/>
            <w:r>
              <w:rPr>
                <w:rFonts w:hint="eastAsia"/>
              </w:rPr>
              <w:t>分析</w:t>
            </w:r>
          </w:p>
        </w:tc>
      </w:tr>
      <w:tr w:rsidR="00BF3B4C">
        <w:trPr>
          <w:trHeight w:val="413"/>
        </w:trPr>
        <w:tc>
          <w:tcPr>
            <w:tcW w:w="973" w:type="dxa"/>
            <w:vMerge/>
            <w:tcBorders>
              <w:tl2br w:val="nil"/>
            </w:tcBorders>
          </w:tcPr>
          <w:p w:rsidR="00BF3B4C" w:rsidRDefault="00BF3B4C">
            <w:pPr>
              <w:spacing w:after="0"/>
              <w:jc w:val="center"/>
            </w:pPr>
          </w:p>
        </w:tc>
        <w:tc>
          <w:tcPr>
            <w:tcW w:w="1262" w:type="dxa"/>
            <w:vMerge/>
            <w:tcBorders>
              <w:tl2br w:val="nil"/>
            </w:tcBorders>
          </w:tcPr>
          <w:p w:rsidR="00BF3B4C" w:rsidRDefault="00BF3B4C">
            <w:pPr>
              <w:spacing w:after="0"/>
              <w:jc w:val="center"/>
            </w:pPr>
          </w:p>
        </w:tc>
        <w:tc>
          <w:tcPr>
            <w:tcW w:w="1630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宏观环境分析</w:t>
            </w:r>
          </w:p>
        </w:tc>
        <w:tc>
          <w:tcPr>
            <w:tcW w:w="1918" w:type="dxa"/>
          </w:tcPr>
          <w:p w:rsidR="00BF3B4C" w:rsidRDefault="00453DBD">
            <w:pPr>
              <w:spacing w:after="0"/>
            </w:pPr>
            <w:r>
              <w:rPr>
                <w:rFonts w:hint="eastAsia"/>
              </w:rPr>
              <w:t>产业</w:t>
            </w:r>
            <w:r w:rsidR="00486957">
              <w:rPr>
                <w:rFonts w:hint="eastAsia"/>
              </w:rPr>
              <w:t>环境分析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竞争对手分析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企业资源分析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企业能力分析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核心能力分析</w:t>
            </w:r>
          </w:p>
        </w:tc>
      </w:tr>
      <w:tr w:rsidR="00BF3B4C">
        <w:trPr>
          <w:trHeight w:val="413"/>
        </w:trPr>
        <w:tc>
          <w:tcPr>
            <w:tcW w:w="973" w:type="dxa"/>
            <w:vMerge/>
            <w:tcBorders>
              <w:tl2br w:val="nil"/>
            </w:tcBorders>
          </w:tcPr>
          <w:p w:rsidR="00BF3B4C" w:rsidRDefault="00BF3B4C">
            <w:pPr>
              <w:spacing w:after="0"/>
              <w:jc w:val="center"/>
            </w:pPr>
          </w:p>
        </w:tc>
        <w:tc>
          <w:tcPr>
            <w:tcW w:w="1262" w:type="dxa"/>
            <w:tcBorders>
              <w:tl2br w:val="nil"/>
            </w:tcBorders>
          </w:tcPr>
          <w:p w:rsidR="00BF3B4C" w:rsidRDefault="00486957">
            <w:pPr>
              <w:spacing w:after="0"/>
              <w:jc w:val="center"/>
            </w:pPr>
            <w:r>
              <w:rPr>
                <w:rFonts w:hint="eastAsia"/>
              </w:rPr>
              <w:t>分析方法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rPr>
          <w:trHeight w:val="413"/>
        </w:trPr>
        <w:tc>
          <w:tcPr>
            <w:tcW w:w="2235" w:type="dxa"/>
            <w:gridSpan w:val="2"/>
            <w:tcBorders>
              <w:tl2br w:val="single" w:sz="4" w:space="0" w:color="auto"/>
            </w:tcBorders>
          </w:tcPr>
          <w:p w:rsidR="00BF3B4C" w:rsidRDefault="00486957">
            <w:pPr>
              <w:spacing w:after="0"/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战略属性</w:t>
            </w:r>
          </w:p>
          <w:p w:rsidR="00BF3B4C" w:rsidRDefault="00486957">
            <w:pPr>
              <w:spacing w:after="0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战略类型</w:t>
            </w:r>
          </w:p>
        </w:tc>
        <w:tc>
          <w:tcPr>
            <w:tcW w:w="1630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概念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特征</w:t>
            </w:r>
          </w:p>
        </w:tc>
        <w:tc>
          <w:tcPr>
            <w:tcW w:w="1918" w:type="dxa"/>
          </w:tcPr>
          <w:p w:rsidR="00BF3B4C" w:rsidRDefault="00453DBD">
            <w:pPr>
              <w:spacing w:after="0"/>
            </w:pPr>
            <w:r>
              <w:rPr>
                <w:rFonts w:hint="eastAsia"/>
              </w:rPr>
              <w:t>优势和劣势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理论</w:t>
            </w:r>
            <w:r w:rsidR="00B803BE">
              <w:rPr>
                <w:rFonts w:hint="eastAsia"/>
              </w:rPr>
              <w:t>依据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适用条件</w:t>
            </w:r>
          </w:p>
        </w:tc>
        <w:tc>
          <w:tcPr>
            <w:tcW w:w="1918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成功的实例</w:t>
            </w:r>
          </w:p>
        </w:tc>
      </w:tr>
      <w:tr w:rsidR="00BF3B4C">
        <w:tc>
          <w:tcPr>
            <w:tcW w:w="973" w:type="dxa"/>
            <w:vMerge w:val="restart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密集型发展战略</w:t>
            </w: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市场渗透战略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市场开发战略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产品开发战略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 w:val="restart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一体化战略</w:t>
            </w: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前向一体化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  <w:vMerge w:val="restart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后向一体化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 w:val="restart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多元化战略</w:t>
            </w: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相关多元化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  <w:vMerge w:val="restart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非相关多元化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 w:val="restart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国际化战略</w:t>
            </w: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国际本土化战略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  <w:vMerge w:val="restart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全球化战略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跨国化战略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2235" w:type="dxa"/>
            <w:gridSpan w:val="2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蓝海战略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 w:val="restart"/>
          </w:tcPr>
          <w:p w:rsidR="00BF3B4C" w:rsidRDefault="005B2E34">
            <w:pPr>
              <w:spacing w:after="0"/>
            </w:pPr>
            <w:r>
              <w:rPr>
                <w:rFonts w:hint="eastAsia"/>
              </w:rPr>
              <w:t>经营单位竞争</w:t>
            </w:r>
            <w:r w:rsidR="00486957">
              <w:rPr>
                <w:rFonts w:hint="eastAsia"/>
              </w:rPr>
              <w:t>战略</w:t>
            </w: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成本领先战略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差异化战略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专一化战略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 w:val="restart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企业外部扩张战略</w:t>
            </w: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购并战略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战略联盟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虚拟运作战略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 w:val="restart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防御战略</w:t>
            </w: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收缩战略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剥离战略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清算战略</w:t>
            </w:r>
          </w:p>
        </w:tc>
        <w:tc>
          <w:tcPr>
            <w:tcW w:w="1630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  <w:tc>
          <w:tcPr>
            <w:tcW w:w="1918" w:type="dxa"/>
          </w:tcPr>
          <w:p w:rsidR="00BF3B4C" w:rsidRDefault="00BF3B4C">
            <w:pPr>
              <w:spacing w:after="0"/>
            </w:pPr>
          </w:p>
        </w:tc>
      </w:tr>
      <w:tr w:rsidR="00BF3B4C">
        <w:tc>
          <w:tcPr>
            <w:tcW w:w="973" w:type="dxa"/>
            <w:vMerge w:val="restart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企业战略实施</w:t>
            </w: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战略实施过程</w:t>
            </w:r>
          </w:p>
        </w:tc>
        <w:tc>
          <w:tcPr>
            <w:tcW w:w="3548" w:type="dxa"/>
            <w:gridSpan w:val="2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战略实施的组织</w:t>
            </w:r>
          </w:p>
        </w:tc>
        <w:tc>
          <w:tcPr>
            <w:tcW w:w="3836" w:type="dxa"/>
            <w:gridSpan w:val="2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战略实施的领导</w:t>
            </w:r>
          </w:p>
        </w:tc>
        <w:tc>
          <w:tcPr>
            <w:tcW w:w="3836" w:type="dxa"/>
            <w:gridSpan w:val="2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战略实施的控制</w:t>
            </w:r>
          </w:p>
        </w:tc>
      </w:tr>
      <w:tr w:rsidR="00BF3B4C" w:rsidTr="00E14E8E">
        <w:trPr>
          <w:trHeight w:val="794"/>
        </w:trPr>
        <w:tc>
          <w:tcPr>
            <w:tcW w:w="973" w:type="dxa"/>
            <w:vMerge/>
          </w:tcPr>
          <w:p w:rsidR="00BF3B4C" w:rsidRDefault="00BF3B4C">
            <w:pPr>
              <w:spacing w:after="0"/>
            </w:pPr>
          </w:p>
        </w:tc>
        <w:tc>
          <w:tcPr>
            <w:tcW w:w="1262" w:type="dxa"/>
          </w:tcPr>
          <w:p w:rsidR="00BF3B4C" w:rsidRDefault="00486957">
            <w:pPr>
              <w:spacing w:after="0"/>
            </w:pPr>
            <w:r>
              <w:rPr>
                <w:rFonts w:hint="eastAsia"/>
              </w:rPr>
              <w:t>实施方法</w:t>
            </w:r>
          </w:p>
        </w:tc>
        <w:tc>
          <w:tcPr>
            <w:tcW w:w="3548" w:type="dxa"/>
            <w:gridSpan w:val="2"/>
          </w:tcPr>
          <w:p w:rsidR="00BF3B4C" w:rsidRDefault="00BF3B4C">
            <w:pPr>
              <w:spacing w:after="0"/>
            </w:pPr>
          </w:p>
        </w:tc>
        <w:tc>
          <w:tcPr>
            <w:tcW w:w="3836" w:type="dxa"/>
            <w:gridSpan w:val="2"/>
          </w:tcPr>
          <w:p w:rsidR="00BF3B4C" w:rsidRDefault="00BF3B4C">
            <w:pPr>
              <w:spacing w:after="0"/>
            </w:pPr>
          </w:p>
        </w:tc>
        <w:tc>
          <w:tcPr>
            <w:tcW w:w="3836" w:type="dxa"/>
            <w:gridSpan w:val="2"/>
          </w:tcPr>
          <w:p w:rsidR="00BF3B4C" w:rsidRDefault="00BF3B4C">
            <w:pPr>
              <w:spacing w:after="0"/>
            </w:pPr>
          </w:p>
        </w:tc>
      </w:tr>
    </w:tbl>
    <w:p w:rsidR="00BF3B4C" w:rsidRDefault="00BF3B4C"/>
    <w:sectPr w:rsidR="00BF3B4C" w:rsidSect="00486957">
      <w:pgSz w:w="16839" w:h="23814" w:code="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C61CDA"/>
    <w:rsid w:val="000277C2"/>
    <w:rsid w:val="00083136"/>
    <w:rsid w:val="000F5F99"/>
    <w:rsid w:val="001759EF"/>
    <w:rsid w:val="001C2E46"/>
    <w:rsid w:val="001D2CCC"/>
    <w:rsid w:val="001E67FD"/>
    <w:rsid w:val="001E76DC"/>
    <w:rsid w:val="00207C42"/>
    <w:rsid w:val="002619BD"/>
    <w:rsid w:val="002C0E18"/>
    <w:rsid w:val="002F7342"/>
    <w:rsid w:val="00323B43"/>
    <w:rsid w:val="00393916"/>
    <w:rsid w:val="003B066E"/>
    <w:rsid w:val="003D37D8"/>
    <w:rsid w:val="004026CB"/>
    <w:rsid w:val="004358AB"/>
    <w:rsid w:val="00453DBD"/>
    <w:rsid w:val="004850AA"/>
    <w:rsid w:val="00486957"/>
    <w:rsid w:val="0049212C"/>
    <w:rsid w:val="004935DF"/>
    <w:rsid w:val="00495B0E"/>
    <w:rsid w:val="004B5D3D"/>
    <w:rsid w:val="004E6EE9"/>
    <w:rsid w:val="00512463"/>
    <w:rsid w:val="00565E80"/>
    <w:rsid w:val="0058093D"/>
    <w:rsid w:val="005879A2"/>
    <w:rsid w:val="005956F1"/>
    <w:rsid w:val="005B2E34"/>
    <w:rsid w:val="00603DCB"/>
    <w:rsid w:val="00672E6E"/>
    <w:rsid w:val="00684565"/>
    <w:rsid w:val="006C3628"/>
    <w:rsid w:val="006F0613"/>
    <w:rsid w:val="007319BD"/>
    <w:rsid w:val="0078509C"/>
    <w:rsid w:val="007E3663"/>
    <w:rsid w:val="00847776"/>
    <w:rsid w:val="00893067"/>
    <w:rsid w:val="008B7726"/>
    <w:rsid w:val="008C1BF5"/>
    <w:rsid w:val="008D3C5E"/>
    <w:rsid w:val="008E48B3"/>
    <w:rsid w:val="009318B5"/>
    <w:rsid w:val="0093415D"/>
    <w:rsid w:val="00970597"/>
    <w:rsid w:val="009916C1"/>
    <w:rsid w:val="009A77C0"/>
    <w:rsid w:val="00A11928"/>
    <w:rsid w:val="00A44BB1"/>
    <w:rsid w:val="00A54491"/>
    <w:rsid w:val="00A56EAD"/>
    <w:rsid w:val="00A629AF"/>
    <w:rsid w:val="00A73F81"/>
    <w:rsid w:val="00A806C6"/>
    <w:rsid w:val="00A85B85"/>
    <w:rsid w:val="00AB2D7A"/>
    <w:rsid w:val="00AF236B"/>
    <w:rsid w:val="00B450B6"/>
    <w:rsid w:val="00B5252E"/>
    <w:rsid w:val="00B528A9"/>
    <w:rsid w:val="00B803BE"/>
    <w:rsid w:val="00BA04E3"/>
    <w:rsid w:val="00BB0959"/>
    <w:rsid w:val="00BE7F9D"/>
    <w:rsid w:val="00BF3B4C"/>
    <w:rsid w:val="00BF5375"/>
    <w:rsid w:val="00C11839"/>
    <w:rsid w:val="00C54623"/>
    <w:rsid w:val="00C61CDA"/>
    <w:rsid w:val="00C914D2"/>
    <w:rsid w:val="00D00EF5"/>
    <w:rsid w:val="00E14E8E"/>
    <w:rsid w:val="00EA5B42"/>
    <w:rsid w:val="00EC3561"/>
    <w:rsid w:val="00EF4981"/>
    <w:rsid w:val="00F73585"/>
    <w:rsid w:val="50B50BC7"/>
    <w:rsid w:val="5B417838"/>
    <w:rsid w:val="61A31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4C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F3B4C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F3B4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F3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BF3B4C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F3B4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4984B-04FC-4F09-8458-6B9819984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21</cp:revision>
  <dcterms:created xsi:type="dcterms:W3CDTF">2014-11-14T00:49:00Z</dcterms:created>
  <dcterms:modified xsi:type="dcterms:W3CDTF">2019-11-24T03:00:00Z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