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D4D" w:rsidRDefault="005F0D4D" w:rsidP="005F0D4D">
      <w:pPr>
        <w:pStyle w:val="a5"/>
        <w:shd w:val="clear" w:color="auto" w:fill="FFFFFF"/>
        <w:spacing w:before="150" w:beforeAutospacing="0" w:after="0" w:afterAutospacing="0"/>
        <w:ind w:firstLine="480"/>
        <w:jc w:val="center"/>
        <w:rPr>
          <w:color w:val="000000"/>
          <w:sz w:val="21"/>
          <w:szCs w:val="21"/>
        </w:rPr>
      </w:pPr>
      <w:r>
        <w:rPr>
          <w:rStyle w:val="a6"/>
          <w:rFonts w:hint="eastAsia"/>
          <w:color w:val="000000"/>
          <w:sz w:val="21"/>
          <w:szCs w:val="21"/>
        </w:rPr>
        <w:t>最高人民法院关于职工因公外出期间死因不明应否认定工伤的答复</w:t>
      </w:r>
    </w:p>
    <w:p w:rsidR="005F0D4D" w:rsidRDefault="005F0D4D" w:rsidP="005F0D4D">
      <w:pPr>
        <w:pStyle w:val="a5"/>
        <w:shd w:val="clear" w:color="auto" w:fill="FFFFFF"/>
        <w:spacing w:before="150" w:beforeAutospacing="0" w:after="0" w:afterAutospacing="0"/>
        <w:ind w:firstLine="480"/>
        <w:jc w:val="center"/>
        <w:rPr>
          <w:rFonts w:hint="eastAsia"/>
          <w:color w:val="000000"/>
          <w:sz w:val="21"/>
          <w:szCs w:val="21"/>
        </w:rPr>
      </w:pPr>
      <w:r>
        <w:rPr>
          <w:rFonts w:hint="eastAsia"/>
          <w:color w:val="000000"/>
          <w:sz w:val="21"/>
          <w:szCs w:val="21"/>
        </w:rPr>
        <w:t>（〔2010〕行他字第236号）</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山东省高级人民法院：</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你院《关于于保柱诉临清市劳动和社会保障局劳动保障行政确认一案如何适用〈</w:t>
      </w:r>
      <w:r w:rsidRPr="0063266B">
        <w:rPr>
          <w:rFonts w:hint="eastAsia"/>
          <w:color w:val="000000"/>
          <w:sz w:val="21"/>
          <w:szCs w:val="21"/>
        </w:rPr>
        <w:t>工伤保险</w:t>
      </w:r>
      <w:r>
        <w:rPr>
          <w:rFonts w:hint="eastAsia"/>
          <w:color w:val="000000"/>
          <w:sz w:val="21"/>
          <w:szCs w:val="21"/>
        </w:rPr>
        <w:t>条例〉第十四条第（五）项的请示》收悉。经研究，答复如下：</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原则同意你院的第一种意见。即职工因公外出期间死因不明，用人单位或者社会保障部门提供的证据不能排除非工作原因导致死亡的，应当依据《工伤保险条例》第十四条第（五）项和第十九条第二款的规定，认定为工伤。</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此复。</w:t>
      </w:r>
    </w:p>
    <w:p w:rsidR="005F0D4D" w:rsidRDefault="005F0D4D" w:rsidP="005F0D4D">
      <w:pPr>
        <w:pStyle w:val="a5"/>
        <w:shd w:val="clear" w:color="auto" w:fill="FFFFFF"/>
        <w:spacing w:before="150" w:beforeAutospacing="0" w:after="0" w:afterAutospacing="0"/>
        <w:ind w:firstLine="480"/>
        <w:jc w:val="right"/>
        <w:rPr>
          <w:rFonts w:hint="eastAsia"/>
          <w:color w:val="000000"/>
          <w:sz w:val="21"/>
          <w:szCs w:val="21"/>
        </w:rPr>
      </w:pPr>
      <w:r>
        <w:rPr>
          <w:rFonts w:hint="eastAsia"/>
          <w:color w:val="000000"/>
          <w:sz w:val="21"/>
          <w:szCs w:val="21"/>
        </w:rPr>
        <w:t>二〇一一年七月六日</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附：</w:t>
      </w:r>
    </w:p>
    <w:p w:rsidR="005F0D4D" w:rsidRDefault="005F0D4D" w:rsidP="005F0D4D">
      <w:pPr>
        <w:pStyle w:val="a5"/>
        <w:shd w:val="clear" w:color="auto" w:fill="FFFFFF"/>
        <w:spacing w:before="150" w:beforeAutospacing="0" w:after="0" w:afterAutospacing="0"/>
        <w:ind w:firstLine="480"/>
        <w:jc w:val="center"/>
        <w:rPr>
          <w:rFonts w:hint="eastAsia"/>
          <w:color w:val="000000"/>
          <w:sz w:val="21"/>
          <w:szCs w:val="21"/>
        </w:rPr>
      </w:pPr>
      <w:r>
        <w:rPr>
          <w:rStyle w:val="a6"/>
          <w:rFonts w:hint="eastAsia"/>
          <w:color w:val="000000"/>
          <w:sz w:val="21"/>
          <w:szCs w:val="21"/>
        </w:rPr>
        <w:t>山东省高级人民法院关于</w:t>
      </w:r>
      <w:proofErr w:type="gramStart"/>
      <w:r>
        <w:rPr>
          <w:rStyle w:val="a6"/>
          <w:rFonts w:hint="eastAsia"/>
          <w:color w:val="000000"/>
          <w:sz w:val="21"/>
          <w:szCs w:val="21"/>
        </w:rPr>
        <w:t>于保柱诉临清</w:t>
      </w:r>
      <w:proofErr w:type="gramEnd"/>
      <w:r>
        <w:rPr>
          <w:rStyle w:val="a6"/>
          <w:rFonts w:hint="eastAsia"/>
          <w:color w:val="000000"/>
          <w:sz w:val="21"/>
          <w:szCs w:val="21"/>
        </w:rPr>
        <w:t>市劳动和社会保障局劳动保障行政确认一案如何适用《工伤保险条例》第十四条第（五）项的请示</w:t>
      </w:r>
    </w:p>
    <w:p w:rsidR="005F0D4D" w:rsidRDefault="005F0D4D" w:rsidP="005F0D4D">
      <w:pPr>
        <w:pStyle w:val="a5"/>
        <w:shd w:val="clear" w:color="auto" w:fill="FFFFFF"/>
        <w:spacing w:before="150" w:beforeAutospacing="0" w:after="0" w:afterAutospacing="0"/>
        <w:ind w:firstLine="480"/>
        <w:jc w:val="center"/>
        <w:rPr>
          <w:rFonts w:hint="eastAsia"/>
          <w:color w:val="000000"/>
          <w:sz w:val="21"/>
          <w:szCs w:val="21"/>
        </w:rPr>
      </w:pPr>
      <w:r>
        <w:rPr>
          <w:rFonts w:hint="eastAsia"/>
          <w:color w:val="000000"/>
          <w:sz w:val="21"/>
          <w:szCs w:val="21"/>
        </w:rPr>
        <w:t>（鲁高法〔2010〕231号）</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最高人民法院：</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我院在办理于</w:t>
      </w:r>
      <w:proofErr w:type="gramStart"/>
      <w:r>
        <w:rPr>
          <w:rFonts w:hint="eastAsia"/>
          <w:color w:val="000000"/>
          <w:sz w:val="21"/>
          <w:szCs w:val="21"/>
        </w:rPr>
        <w:t>保柱诉临清</w:t>
      </w:r>
      <w:proofErr w:type="gramEnd"/>
      <w:r>
        <w:rPr>
          <w:rFonts w:hint="eastAsia"/>
          <w:color w:val="000000"/>
          <w:sz w:val="21"/>
          <w:szCs w:val="21"/>
        </w:rPr>
        <w:t>市劳动和社会保障局劳动保障行政确认一案，对《工伤保险条例》第十四条第（五）项的规定理解与适用把握不准。经我院</w:t>
      </w:r>
      <w:r w:rsidRPr="0063266B">
        <w:rPr>
          <w:rFonts w:hint="eastAsia"/>
          <w:color w:val="000000"/>
          <w:sz w:val="21"/>
          <w:szCs w:val="21"/>
        </w:rPr>
        <w:t>审判</w:t>
      </w:r>
      <w:r>
        <w:rPr>
          <w:rFonts w:hint="eastAsia"/>
          <w:color w:val="000000"/>
          <w:sz w:val="21"/>
          <w:szCs w:val="21"/>
        </w:rPr>
        <w:t>委员会研究后对如何适用相关规定存在不同意见，特向贵院请示。</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一、当事人基本情况</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sidRPr="0063266B">
        <w:rPr>
          <w:rFonts w:hint="eastAsia"/>
          <w:color w:val="000000"/>
          <w:sz w:val="21"/>
          <w:szCs w:val="21"/>
        </w:rPr>
        <w:t>申诉</w:t>
      </w:r>
      <w:r>
        <w:rPr>
          <w:rFonts w:hint="eastAsia"/>
          <w:color w:val="000000"/>
          <w:sz w:val="21"/>
          <w:szCs w:val="21"/>
        </w:rPr>
        <w:t>人（一审原告、二审上诉人）于保柱，男，1961年2月20日出生，汉族，河北省馆陶县</w:t>
      </w:r>
      <w:proofErr w:type="gramStart"/>
      <w:r>
        <w:rPr>
          <w:rFonts w:hint="eastAsia"/>
          <w:color w:val="000000"/>
          <w:sz w:val="21"/>
          <w:szCs w:val="21"/>
        </w:rPr>
        <w:t>魏僧寨镇</w:t>
      </w:r>
      <w:proofErr w:type="gramEnd"/>
      <w:r>
        <w:rPr>
          <w:rFonts w:hint="eastAsia"/>
          <w:color w:val="000000"/>
          <w:sz w:val="21"/>
          <w:szCs w:val="21"/>
        </w:rPr>
        <w:t>申街东村村民，住该村。</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被申诉人（一审被告、二审被上诉人）临清市劳动和社会保障局，住所地临清市果园路80号。</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被申诉人（一审第三人、二审被上诉人）临清市</w:t>
      </w:r>
      <w:proofErr w:type="gramStart"/>
      <w:r>
        <w:rPr>
          <w:rFonts w:hint="eastAsia"/>
          <w:color w:val="000000"/>
          <w:sz w:val="21"/>
          <w:szCs w:val="21"/>
        </w:rPr>
        <w:t>龙业轴承</w:t>
      </w:r>
      <w:proofErr w:type="gramEnd"/>
      <w:r>
        <w:rPr>
          <w:rFonts w:hint="eastAsia"/>
          <w:color w:val="000000"/>
          <w:sz w:val="21"/>
          <w:szCs w:val="21"/>
        </w:rPr>
        <w:t>有限公司，住所地临清市潘庄镇工业区。</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二、原审法院查明的事实及裁判情况</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临清市人民法院一审认定：2004年6月15日，被告临清市劳动和社会保障局（以下简称临清市劳动局）</w:t>
      </w:r>
      <w:proofErr w:type="gramStart"/>
      <w:r>
        <w:rPr>
          <w:rFonts w:hint="eastAsia"/>
          <w:color w:val="000000"/>
          <w:sz w:val="21"/>
          <w:szCs w:val="21"/>
        </w:rPr>
        <w:t>作出</w:t>
      </w:r>
      <w:proofErr w:type="gramEnd"/>
      <w:r>
        <w:rPr>
          <w:rFonts w:hint="eastAsia"/>
          <w:color w:val="000000"/>
          <w:sz w:val="21"/>
          <w:szCs w:val="21"/>
        </w:rPr>
        <w:t>临</w:t>
      </w:r>
      <w:proofErr w:type="gramStart"/>
      <w:r>
        <w:rPr>
          <w:rFonts w:hint="eastAsia"/>
          <w:color w:val="000000"/>
          <w:sz w:val="21"/>
          <w:szCs w:val="21"/>
        </w:rPr>
        <w:t>劳社工决〔2004〕</w:t>
      </w:r>
      <w:proofErr w:type="gramEnd"/>
      <w:r>
        <w:rPr>
          <w:rFonts w:hint="eastAsia"/>
          <w:color w:val="000000"/>
          <w:sz w:val="21"/>
          <w:szCs w:val="21"/>
        </w:rPr>
        <w:t>3号《关于不予认定于建强死亡为工伤的决定》，以于建强死亡的情形不符合《工伤保险条例》第十四条认定工伤的情形，也不符合第十五条视同工伤的情形为由，决定对于建强的死亡不予认定为工伤。原告于保柱（于建强之父）不服，向临清市人民政府申请行政复议。2004年10月22日，临清市人民政府</w:t>
      </w:r>
      <w:proofErr w:type="gramStart"/>
      <w:r>
        <w:rPr>
          <w:rFonts w:hint="eastAsia"/>
          <w:color w:val="000000"/>
          <w:sz w:val="21"/>
          <w:szCs w:val="21"/>
        </w:rPr>
        <w:t>作出</w:t>
      </w:r>
      <w:proofErr w:type="gramEnd"/>
      <w:r>
        <w:rPr>
          <w:rFonts w:hint="eastAsia"/>
          <w:color w:val="000000"/>
          <w:sz w:val="21"/>
          <w:szCs w:val="21"/>
        </w:rPr>
        <w:t>临政复决字〔2004〕第022号行政复议决定，维持了被告临清市劳动局的上述工伤认定。原告于保柱不服，诉至法院。根据被告提供的第三人临清市</w:t>
      </w:r>
      <w:proofErr w:type="gramStart"/>
      <w:r>
        <w:rPr>
          <w:rFonts w:hint="eastAsia"/>
          <w:color w:val="000000"/>
          <w:sz w:val="21"/>
          <w:szCs w:val="21"/>
        </w:rPr>
        <w:t>龙业轴承</w:t>
      </w:r>
      <w:proofErr w:type="gramEnd"/>
      <w:r>
        <w:rPr>
          <w:rFonts w:hint="eastAsia"/>
          <w:color w:val="000000"/>
          <w:sz w:val="21"/>
          <w:szCs w:val="21"/>
        </w:rPr>
        <w:t>有限公司（以下</w:t>
      </w:r>
      <w:proofErr w:type="gramStart"/>
      <w:r>
        <w:rPr>
          <w:rFonts w:hint="eastAsia"/>
          <w:color w:val="000000"/>
          <w:sz w:val="21"/>
          <w:szCs w:val="21"/>
        </w:rPr>
        <w:t>简称龙业公司</w:t>
      </w:r>
      <w:proofErr w:type="gramEnd"/>
      <w:r>
        <w:rPr>
          <w:rFonts w:hint="eastAsia"/>
          <w:color w:val="000000"/>
          <w:sz w:val="21"/>
          <w:szCs w:val="21"/>
        </w:rPr>
        <w:t>）的考勤表，</w:t>
      </w:r>
      <w:proofErr w:type="gramStart"/>
      <w:r>
        <w:rPr>
          <w:rFonts w:hint="eastAsia"/>
          <w:color w:val="000000"/>
          <w:sz w:val="21"/>
          <w:szCs w:val="21"/>
        </w:rPr>
        <w:t>对龙业公司</w:t>
      </w:r>
      <w:proofErr w:type="gramEnd"/>
      <w:r>
        <w:rPr>
          <w:rFonts w:hint="eastAsia"/>
          <w:color w:val="000000"/>
          <w:sz w:val="21"/>
          <w:szCs w:val="21"/>
        </w:rPr>
        <w:t>经理魏师玉、车间主管陈彦军、原告于保柱、证人路长思的询问笔录以</w:t>
      </w:r>
      <w:proofErr w:type="gramStart"/>
      <w:r>
        <w:rPr>
          <w:rFonts w:hint="eastAsia"/>
          <w:color w:val="000000"/>
          <w:sz w:val="21"/>
          <w:szCs w:val="21"/>
        </w:rPr>
        <w:t>及于建</w:t>
      </w:r>
      <w:proofErr w:type="gramEnd"/>
      <w:r>
        <w:rPr>
          <w:rFonts w:hint="eastAsia"/>
          <w:color w:val="000000"/>
          <w:sz w:val="21"/>
          <w:szCs w:val="21"/>
        </w:rPr>
        <w:t>强遗留的四份招工书面记录，能够证明于建强生前与第三</w:t>
      </w:r>
      <w:proofErr w:type="gramStart"/>
      <w:r>
        <w:rPr>
          <w:rFonts w:hint="eastAsia"/>
          <w:color w:val="000000"/>
          <w:sz w:val="21"/>
          <w:szCs w:val="21"/>
        </w:rPr>
        <w:t>人龙业公司</w:t>
      </w:r>
      <w:proofErr w:type="gramEnd"/>
      <w:r>
        <w:rPr>
          <w:rFonts w:hint="eastAsia"/>
          <w:color w:val="000000"/>
          <w:sz w:val="21"/>
          <w:szCs w:val="21"/>
        </w:rPr>
        <w:t>有过事实劳动关系。根据被告提交的临清市公安局刑警大队的两份证明，能证实发现于建强尸体的地点是临</w:t>
      </w:r>
      <w:r>
        <w:rPr>
          <w:rFonts w:hint="eastAsia"/>
          <w:color w:val="000000"/>
          <w:sz w:val="21"/>
          <w:szCs w:val="21"/>
        </w:rPr>
        <w:lastRenderedPageBreak/>
        <w:t>清市青年办事处东窑村北卫运河内，时间是2003年11月8日，且排除他杀，但不能证明于建强死亡的具体时间、地点、原因及死亡的经过和现场。因此，不能判明于建强的死亡与其生前从事的工作有必然的因果关系，故而不能排除有《工伤保险条例》中规定的不得认定为工伤或视同工伤的情形。被告临清市劳动局根据调查的现有证据</w:t>
      </w:r>
      <w:proofErr w:type="gramStart"/>
      <w:r>
        <w:rPr>
          <w:rFonts w:hint="eastAsia"/>
          <w:color w:val="000000"/>
          <w:sz w:val="21"/>
          <w:szCs w:val="21"/>
        </w:rPr>
        <w:t>作出</w:t>
      </w:r>
      <w:proofErr w:type="gramEnd"/>
      <w:r>
        <w:rPr>
          <w:rFonts w:hint="eastAsia"/>
          <w:color w:val="000000"/>
          <w:sz w:val="21"/>
          <w:szCs w:val="21"/>
        </w:rPr>
        <w:t>不予认定于建强工伤的决定并不违背法律规定，应依法予以维持。依据《中华人民共和国行政诉讼法》第五十四条第（一）项之规定，临清市人民法院于2005年1月11日</w:t>
      </w:r>
      <w:proofErr w:type="gramStart"/>
      <w:r>
        <w:rPr>
          <w:rFonts w:hint="eastAsia"/>
          <w:color w:val="000000"/>
          <w:sz w:val="21"/>
          <w:szCs w:val="21"/>
        </w:rPr>
        <w:t>作出</w:t>
      </w:r>
      <w:proofErr w:type="gramEnd"/>
      <w:r>
        <w:rPr>
          <w:rFonts w:hint="eastAsia"/>
          <w:color w:val="000000"/>
          <w:sz w:val="21"/>
          <w:szCs w:val="21"/>
        </w:rPr>
        <w:t>（2004）临行初字第169号行政判决，判决维持临清市劳动局2004年6月15日</w:t>
      </w:r>
      <w:proofErr w:type="gramStart"/>
      <w:r>
        <w:rPr>
          <w:rFonts w:hint="eastAsia"/>
          <w:color w:val="000000"/>
          <w:sz w:val="21"/>
          <w:szCs w:val="21"/>
        </w:rPr>
        <w:t>作出</w:t>
      </w:r>
      <w:proofErr w:type="gramEnd"/>
      <w:r>
        <w:rPr>
          <w:rFonts w:hint="eastAsia"/>
          <w:color w:val="000000"/>
          <w:sz w:val="21"/>
          <w:szCs w:val="21"/>
        </w:rPr>
        <w:t>临</w:t>
      </w:r>
      <w:proofErr w:type="gramStart"/>
      <w:r>
        <w:rPr>
          <w:rFonts w:hint="eastAsia"/>
          <w:color w:val="000000"/>
          <w:sz w:val="21"/>
          <w:szCs w:val="21"/>
        </w:rPr>
        <w:t>劳社工决〔2004〕</w:t>
      </w:r>
      <w:proofErr w:type="gramEnd"/>
      <w:r>
        <w:rPr>
          <w:rFonts w:hint="eastAsia"/>
          <w:color w:val="000000"/>
          <w:sz w:val="21"/>
          <w:szCs w:val="21"/>
        </w:rPr>
        <w:t>3号《关于不予认定于建强死亡为工伤的决定》的行政行为。</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于保柱不服一审法院判决，</w:t>
      </w:r>
      <w:proofErr w:type="gramStart"/>
      <w:r>
        <w:rPr>
          <w:rFonts w:hint="eastAsia"/>
          <w:color w:val="000000"/>
          <w:sz w:val="21"/>
          <w:szCs w:val="21"/>
        </w:rPr>
        <w:t>向聊城市</w:t>
      </w:r>
      <w:proofErr w:type="gramEnd"/>
      <w:r>
        <w:rPr>
          <w:rFonts w:hint="eastAsia"/>
          <w:color w:val="000000"/>
          <w:sz w:val="21"/>
          <w:szCs w:val="21"/>
        </w:rPr>
        <w:t>中级人民法院提起上诉。</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聊城市中级人民法院经审理认为：</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根据被上诉人临清市劳动局提供的龙业公司的考勤表和对魏师玉、陈彦军、于保柱的询问笔录，可以证明于建强于2003年7月11日到龙业公司上班，至2003年10月3日在龙业公司车间工作。被上诉人提供的对路长思的询问笔录和于建强遗物中的招工记录，可以证明于建强死亡前曾外出为龙业公司招工，并且这种招工行为是龙业公司安排或者同意的。因此，可以认定，于建强死亡前与龙业公司存在着事实上的劳动关系。</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被上诉人提供的临清市公安局刑警大队的两份证明能够证明发现于建强尸体的时间和地点，但不能证明于建强死亡的具体时间、地点、原因，被上诉人、上诉人、原审第三人也均未提供其他证据予以证明。因此，不能认定于建强的死亡与其为龙业公司招工有必然的因果关系，不符合《工伤保险条例》第十四条规定的应当认定工伤的情形，也不符合该条例第十五条规定的应视同工伤的情形。被上诉人据此</w:t>
      </w:r>
      <w:proofErr w:type="gramStart"/>
      <w:r>
        <w:rPr>
          <w:rFonts w:hint="eastAsia"/>
          <w:color w:val="000000"/>
          <w:sz w:val="21"/>
          <w:szCs w:val="21"/>
        </w:rPr>
        <w:t>作出</w:t>
      </w:r>
      <w:proofErr w:type="gramEnd"/>
      <w:r>
        <w:rPr>
          <w:rFonts w:hint="eastAsia"/>
          <w:color w:val="000000"/>
          <w:sz w:val="21"/>
          <w:szCs w:val="21"/>
        </w:rPr>
        <w:t>不予认定于建强死亡为工伤的决定，证据充分，适用法律正确。上诉人可在查清于建强死因后，依法再行提起工伤认定申请。</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工伤保险条例》第十九条第二款规定，职工或者其直系亲属认为是工伤，用人单位不认为是工伤的，由用人单位承担举证责任。《工伤认定办法》第十四条规定，在此情形下，用人单位拒不举证的，劳动保障行政部门可以根据受伤害职工提供的证据依法</w:t>
      </w:r>
      <w:proofErr w:type="gramStart"/>
      <w:r>
        <w:rPr>
          <w:rFonts w:hint="eastAsia"/>
          <w:color w:val="000000"/>
          <w:sz w:val="21"/>
          <w:szCs w:val="21"/>
        </w:rPr>
        <w:t>作出</w:t>
      </w:r>
      <w:proofErr w:type="gramEnd"/>
      <w:r>
        <w:rPr>
          <w:rFonts w:hint="eastAsia"/>
          <w:color w:val="000000"/>
          <w:sz w:val="21"/>
          <w:szCs w:val="21"/>
        </w:rPr>
        <w:t>工伤结论。但这并不是说在用人单位不提供证据或者提供证据不完全的情况下，就应当推定为工伤。工伤认定部门</w:t>
      </w:r>
      <w:proofErr w:type="gramStart"/>
      <w:r>
        <w:rPr>
          <w:rFonts w:hint="eastAsia"/>
          <w:color w:val="000000"/>
          <w:sz w:val="21"/>
          <w:szCs w:val="21"/>
        </w:rPr>
        <w:t>仍然应</w:t>
      </w:r>
      <w:proofErr w:type="gramEnd"/>
      <w:r>
        <w:rPr>
          <w:rFonts w:hint="eastAsia"/>
          <w:color w:val="000000"/>
          <w:sz w:val="21"/>
          <w:szCs w:val="21"/>
        </w:rPr>
        <w:t>依法</w:t>
      </w:r>
      <w:r w:rsidRPr="0063266B">
        <w:rPr>
          <w:rFonts w:hint="eastAsia"/>
          <w:color w:val="000000"/>
          <w:sz w:val="21"/>
          <w:szCs w:val="21"/>
        </w:rPr>
        <w:t>调查取证</w:t>
      </w:r>
      <w:r>
        <w:rPr>
          <w:rFonts w:hint="eastAsia"/>
          <w:color w:val="000000"/>
          <w:sz w:val="21"/>
          <w:szCs w:val="21"/>
        </w:rPr>
        <w:t>，根据查证的情况</w:t>
      </w:r>
      <w:proofErr w:type="gramStart"/>
      <w:r>
        <w:rPr>
          <w:rFonts w:hint="eastAsia"/>
          <w:color w:val="000000"/>
          <w:sz w:val="21"/>
          <w:szCs w:val="21"/>
        </w:rPr>
        <w:t>作出</w:t>
      </w:r>
      <w:proofErr w:type="gramEnd"/>
      <w:r>
        <w:rPr>
          <w:rFonts w:hint="eastAsia"/>
          <w:color w:val="000000"/>
          <w:sz w:val="21"/>
          <w:szCs w:val="21"/>
        </w:rPr>
        <w:t>是否应当认定工伤的决定。因此，上诉人所持原审第三人龙业公司未能举证证明于建强死亡不是工伤就应当认定是工伤的理由不能成立，不予支持。</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对被上诉人</w:t>
      </w:r>
      <w:proofErr w:type="gramStart"/>
      <w:r>
        <w:rPr>
          <w:rFonts w:hint="eastAsia"/>
          <w:color w:val="000000"/>
          <w:sz w:val="21"/>
          <w:szCs w:val="21"/>
        </w:rPr>
        <w:t>作出</w:t>
      </w:r>
      <w:proofErr w:type="gramEnd"/>
      <w:r>
        <w:rPr>
          <w:rFonts w:hint="eastAsia"/>
          <w:color w:val="000000"/>
          <w:sz w:val="21"/>
          <w:szCs w:val="21"/>
        </w:rPr>
        <w:t>工伤认定所适用的程序，当事人均不持异议，经审查确认其合法。</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综上，被上诉人临清市劳动局</w:t>
      </w:r>
      <w:proofErr w:type="gramStart"/>
      <w:r>
        <w:rPr>
          <w:rFonts w:hint="eastAsia"/>
          <w:color w:val="000000"/>
          <w:sz w:val="21"/>
          <w:szCs w:val="21"/>
        </w:rPr>
        <w:t>作出</w:t>
      </w:r>
      <w:proofErr w:type="gramEnd"/>
      <w:r>
        <w:rPr>
          <w:rFonts w:hint="eastAsia"/>
          <w:color w:val="000000"/>
          <w:sz w:val="21"/>
          <w:szCs w:val="21"/>
        </w:rPr>
        <w:t>的不予认定于建强死亡为工伤的决定，认定事实清楚，程序合法，适用法律正确，原审法院判决维持并无不当，依法应予维持。上诉人上诉理由不能成立，其上诉请求应依法予以驳回。依据《中华人民共和国行政诉讼法》第六十一条第（一）项之规定，聊城市中级人民法院于2005年4月11日</w:t>
      </w:r>
      <w:proofErr w:type="gramStart"/>
      <w:r>
        <w:rPr>
          <w:rFonts w:hint="eastAsia"/>
          <w:color w:val="000000"/>
          <w:sz w:val="21"/>
          <w:szCs w:val="21"/>
        </w:rPr>
        <w:t>作出</w:t>
      </w:r>
      <w:proofErr w:type="gramEnd"/>
      <w:r>
        <w:rPr>
          <w:rFonts w:hint="eastAsia"/>
          <w:color w:val="000000"/>
          <w:sz w:val="21"/>
          <w:szCs w:val="21"/>
        </w:rPr>
        <w:t>（2005）聊行终字第19号行政判决，判决驳回上诉，维持原判。</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三、合议庭审查意见</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合议庭经审</w:t>
      </w:r>
      <w:proofErr w:type="gramStart"/>
      <w:r>
        <w:rPr>
          <w:rFonts w:hint="eastAsia"/>
          <w:color w:val="000000"/>
          <w:sz w:val="21"/>
          <w:szCs w:val="21"/>
        </w:rPr>
        <w:t>査</w:t>
      </w:r>
      <w:proofErr w:type="gramEnd"/>
      <w:r>
        <w:rPr>
          <w:rFonts w:hint="eastAsia"/>
          <w:color w:val="000000"/>
          <w:sz w:val="21"/>
          <w:szCs w:val="21"/>
        </w:rPr>
        <w:t>，形成以下意见：</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根据被上诉人临清市劳动局提供的龙业公司的考勤表和对魏师玉、陈彦军、于保柱的询问笔录，可以证明于建强于2003年7月11日到龙业公司上班，至2003年10月3日在龙业公司车间工作。被上诉人提供的对路长思的询问笔录和于建强遗物中的招工记录，可以证</w:t>
      </w:r>
      <w:r>
        <w:rPr>
          <w:rFonts w:hint="eastAsia"/>
          <w:color w:val="000000"/>
          <w:sz w:val="21"/>
          <w:szCs w:val="21"/>
        </w:rPr>
        <w:lastRenderedPageBreak/>
        <w:t>明于建强死亡前曾外出为龙业公司招工，并且这种招工行为是龙业公司安排或者同意的。因此，可以认定，于建强死亡前与龙业公司存在着事实上的劳动关系。</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工伤保险条例》第十九条第二款规定，“职工或者其直系亲属认为是工伤，用人单位不认为是工伤的，由用人单位承担举证责任。”《工伤保险条例》第十四条第（五）项规定，“职工有下列情形之一的，应当认定为工伤：……（五）因工外出期间，由于工作原因受到伤害或者发生事故下落不明的；……”根据本案有效证据，可以证明于建强死亡前曾外出为龙业公司招工，至于于建强死亡前是否因公外出，龙业公司并未提供证据证明于建强2003年10月3日前有</w:t>
      </w:r>
      <w:r w:rsidRPr="0063266B">
        <w:rPr>
          <w:rFonts w:hint="eastAsia"/>
          <w:color w:val="000000"/>
          <w:sz w:val="21"/>
          <w:szCs w:val="21"/>
        </w:rPr>
        <w:t>辞职</w:t>
      </w:r>
      <w:r>
        <w:rPr>
          <w:rFonts w:hint="eastAsia"/>
          <w:color w:val="000000"/>
          <w:sz w:val="21"/>
          <w:szCs w:val="21"/>
        </w:rPr>
        <w:t>或请假的事实，且于建强遗物中记录招工的最后时间为2003年10月15日，可以推定于建强在2003年10</w:t>
      </w:r>
      <w:bookmarkStart w:id="0" w:name="_GoBack"/>
      <w:bookmarkEnd w:id="0"/>
      <w:r>
        <w:rPr>
          <w:rFonts w:hint="eastAsia"/>
          <w:color w:val="000000"/>
          <w:sz w:val="21"/>
          <w:szCs w:val="21"/>
        </w:rPr>
        <w:t>月3日之后仍继续为龙业公司招工，其死亡时间应属于因公外出期间。</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对于</w:t>
      </w:r>
      <w:proofErr w:type="gramStart"/>
      <w:r>
        <w:rPr>
          <w:rFonts w:hint="eastAsia"/>
          <w:color w:val="000000"/>
          <w:sz w:val="21"/>
          <w:szCs w:val="21"/>
        </w:rPr>
        <w:t>于</w:t>
      </w:r>
      <w:proofErr w:type="gramEnd"/>
      <w:r>
        <w:rPr>
          <w:rFonts w:hint="eastAsia"/>
          <w:color w:val="000000"/>
          <w:sz w:val="21"/>
          <w:szCs w:val="21"/>
        </w:rPr>
        <w:t>建强的死亡是否属于工作原因的问题。临清市公安局刑警大队的两份证明能够证明发现于建强尸体的时间和地点，但不能证明于建</w:t>
      </w:r>
      <w:proofErr w:type="gramStart"/>
      <w:r>
        <w:rPr>
          <w:rFonts w:hint="eastAsia"/>
          <w:color w:val="000000"/>
          <w:sz w:val="21"/>
          <w:szCs w:val="21"/>
        </w:rPr>
        <w:t>强死亡</w:t>
      </w:r>
      <w:proofErr w:type="gramEnd"/>
      <w:r>
        <w:rPr>
          <w:rFonts w:hint="eastAsia"/>
          <w:color w:val="000000"/>
          <w:sz w:val="21"/>
          <w:szCs w:val="21"/>
        </w:rPr>
        <w:t>的具体时间、地点、原因，各方当事人也均未提供其他证据予以证明。根据现有证据，虽然不能认定于建强的死亡与其</w:t>
      </w:r>
      <w:proofErr w:type="gramStart"/>
      <w:r>
        <w:rPr>
          <w:rFonts w:hint="eastAsia"/>
          <w:color w:val="000000"/>
          <w:sz w:val="21"/>
          <w:szCs w:val="21"/>
        </w:rPr>
        <w:t>为龙业公司</w:t>
      </w:r>
      <w:proofErr w:type="gramEnd"/>
      <w:r>
        <w:rPr>
          <w:rFonts w:hint="eastAsia"/>
          <w:color w:val="000000"/>
          <w:sz w:val="21"/>
          <w:szCs w:val="21"/>
        </w:rPr>
        <w:t>招工必然有因果关系，但亦不能排除两者之间的因果关系。在用人单位举证不能的情况下，应先</w:t>
      </w:r>
      <w:proofErr w:type="gramStart"/>
      <w:r>
        <w:rPr>
          <w:rFonts w:hint="eastAsia"/>
          <w:color w:val="000000"/>
          <w:sz w:val="21"/>
          <w:szCs w:val="21"/>
        </w:rPr>
        <w:t>作出</w:t>
      </w:r>
      <w:proofErr w:type="gramEnd"/>
      <w:r>
        <w:rPr>
          <w:rFonts w:hint="eastAsia"/>
          <w:color w:val="000000"/>
          <w:sz w:val="21"/>
          <w:szCs w:val="21"/>
        </w:rPr>
        <w:t>有利于职工的认定。因此，根据本案现有证据，可以推定于建强的死亡系由于工作原因，于建强的死亡符合《工伤保险条例》第十四条第（五）项“因工外出期间，由于工作原因受到伤害或者发生事故下落不明的”情形，临清市劳动局</w:t>
      </w:r>
      <w:proofErr w:type="gramStart"/>
      <w:r>
        <w:rPr>
          <w:rFonts w:hint="eastAsia"/>
          <w:color w:val="000000"/>
          <w:sz w:val="21"/>
          <w:szCs w:val="21"/>
        </w:rPr>
        <w:t>作出</w:t>
      </w:r>
      <w:proofErr w:type="gramEnd"/>
      <w:r>
        <w:rPr>
          <w:rFonts w:hint="eastAsia"/>
          <w:color w:val="000000"/>
          <w:sz w:val="21"/>
          <w:szCs w:val="21"/>
        </w:rPr>
        <w:t>的《关于不予认定于建强死亡为工伤的决定》认定事实不清，适用法律错误，应予撤销。原审法院判决予以维持不当，应予以改判。</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四、我院审判委员会意见</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案经我院审判委员会研究，就职工因公外出期间死因不明的能否认定为工伤的问题形成两种不同意见。</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第一种意见同意合议庭意见，认为职工因公外出期间死亡，虽然死因不明，但不能排除系由于工作原因导致死亡，且职工死亡发生在因公外出期间，应属于《工伤保险条例》第十四条第（五）项规定的“因工外出期间，由于工作原因受到伤害或者发生事故下落不明的”情形，应当认定为工伤。</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第二种意见认为，职工因公外出期间死亡，但死因不明，不能认定职工的死亡系由于工作原因，不符合《工伤保险条例》第十四条第（五）项的规定，不应认定为工伤。</w:t>
      </w:r>
    </w:p>
    <w:p w:rsidR="005F0D4D" w:rsidRDefault="005F0D4D" w:rsidP="005F0D4D">
      <w:pPr>
        <w:pStyle w:val="a5"/>
        <w:shd w:val="clear" w:color="auto" w:fill="FFFFFF"/>
        <w:spacing w:before="150" w:beforeAutospacing="0" w:after="0" w:afterAutospacing="0"/>
        <w:ind w:firstLine="480"/>
        <w:rPr>
          <w:rFonts w:hint="eastAsia"/>
          <w:color w:val="000000"/>
          <w:sz w:val="21"/>
          <w:szCs w:val="21"/>
        </w:rPr>
      </w:pPr>
      <w:r>
        <w:rPr>
          <w:rFonts w:hint="eastAsia"/>
          <w:color w:val="000000"/>
          <w:sz w:val="21"/>
          <w:szCs w:val="21"/>
        </w:rPr>
        <w:t>对本案如何适用法律，请给予批复。</w:t>
      </w:r>
    </w:p>
    <w:p w:rsidR="005F0D4D" w:rsidRDefault="005F0D4D" w:rsidP="005F0D4D">
      <w:pPr>
        <w:pStyle w:val="a5"/>
        <w:shd w:val="clear" w:color="auto" w:fill="FFFFFF"/>
        <w:spacing w:before="150" w:beforeAutospacing="0" w:after="0" w:afterAutospacing="0"/>
        <w:ind w:firstLine="480"/>
        <w:jc w:val="right"/>
        <w:rPr>
          <w:rFonts w:hint="eastAsia"/>
          <w:color w:val="000000"/>
          <w:sz w:val="21"/>
          <w:szCs w:val="21"/>
        </w:rPr>
      </w:pPr>
      <w:r>
        <w:rPr>
          <w:rFonts w:hint="eastAsia"/>
          <w:color w:val="000000"/>
          <w:sz w:val="21"/>
          <w:szCs w:val="21"/>
        </w:rPr>
        <w:t>二〇一〇年十二月二日</w:t>
      </w:r>
    </w:p>
    <w:p w:rsidR="00FE7A56" w:rsidRDefault="00FE7A56"/>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D4D" w:rsidRDefault="005F0D4D" w:rsidP="005F0D4D">
      <w:r>
        <w:separator/>
      </w:r>
    </w:p>
  </w:endnote>
  <w:endnote w:type="continuationSeparator" w:id="0">
    <w:p w:rsidR="005F0D4D" w:rsidRDefault="005F0D4D" w:rsidP="005F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D4D" w:rsidRDefault="005F0D4D" w:rsidP="005F0D4D">
      <w:r>
        <w:separator/>
      </w:r>
    </w:p>
  </w:footnote>
  <w:footnote w:type="continuationSeparator" w:id="0">
    <w:p w:rsidR="005F0D4D" w:rsidRDefault="005F0D4D" w:rsidP="005F0D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543"/>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5F0D4D"/>
    <w:rsid w:val="0063266B"/>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A6543"/>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0D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0D4D"/>
    <w:rPr>
      <w:sz w:val="18"/>
      <w:szCs w:val="18"/>
    </w:rPr>
  </w:style>
  <w:style w:type="paragraph" w:styleId="a4">
    <w:name w:val="footer"/>
    <w:basedOn w:val="a"/>
    <w:link w:val="Char0"/>
    <w:uiPriority w:val="99"/>
    <w:unhideWhenUsed/>
    <w:rsid w:val="005F0D4D"/>
    <w:pPr>
      <w:tabs>
        <w:tab w:val="center" w:pos="4153"/>
        <w:tab w:val="right" w:pos="8306"/>
      </w:tabs>
      <w:snapToGrid w:val="0"/>
      <w:jc w:val="left"/>
    </w:pPr>
    <w:rPr>
      <w:sz w:val="18"/>
      <w:szCs w:val="18"/>
    </w:rPr>
  </w:style>
  <w:style w:type="character" w:customStyle="1" w:styleId="Char0">
    <w:name w:val="页脚 Char"/>
    <w:basedOn w:val="a0"/>
    <w:link w:val="a4"/>
    <w:uiPriority w:val="99"/>
    <w:rsid w:val="005F0D4D"/>
    <w:rPr>
      <w:sz w:val="18"/>
      <w:szCs w:val="18"/>
    </w:rPr>
  </w:style>
  <w:style w:type="paragraph" w:styleId="a5">
    <w:name w:val="Normal (Web)"/>
    <w:basedOn w:val="a"/>
    <w:uiPriority w:val="99"/>
    <w:semiHidden/>
    <w:unhideWhenUsed/>
    <w:rsid w:val="005F0D4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F0D4D"/>
    <w:rPr>
      <w:b/>
      <w:bCs/>
    </w:rPr>
  </w:style>
  <w:style w:type="character" w:styleId="a7">
    <w:name w:val="Hyperlink"/>
    <w:basedOn w:val="a0"/>
    <w:uiPriority w:val="99"/>
    <w:semiHidden/>
    <w:unhideWhenUsed/>
    <w:rsid w:val="005F0D4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F0D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F0D4D"/>
    <w:rPr>
      <w:sz w:val="18"/>
      <w:szCs w:val="18"/>
    </w:rPr>
  </w:style>
  <w:style w:type="paragraph" w:styleId="a4">
    <w:name w:val="footer"/>
    <w:basedOn w:val="a"/>
    <w:link w:val="Char0"/>
    <w:uiPriority w:val="99"/>
    <w:unhideWhenUsed/>
    <w:rsid w:val="005F0D4D"/>
    <w:pPr>
      <w:tabs>
        <w:tab w:val="center" w:pos="4153"/>
        <w:tab w:val="right" w:pos="8306"/>
      </w:tabs>
      <w:snapToGrid w:val="0"/>
      <w:jc w:val="left"/>
    </w:pPr>
    <w:rPr>
      <w:sz w:val="18"/>
      <w:szCs w:val="18"/>
    </w:rPr>
  </w:style>
  <w:style w:type="character" w:customStyle="1" w:styleId="Char0">
    <w:name w:val="页脚 Char"/>
    <w:basedOn w:val="a0"/>
    <w:link w:val="a4"/>
    <w:uiPriority w:val="99"/>
    <w:rsid w:val="005F0D4D"/>
    <w:rPr>
      <w:sz w:val="18"/>
      <w:szCs w:val="18"/>
    </w:rPr>
  </w:style>
  <w:style w:type="paragraph" w:styleId="a5">
    <w:name w:val="Normal (Web)"/>
    <w:basedOn w:val="a"/>
    <w:uiPriority w:val="99"/>
    <w:semiHidden/>
    <w:unhideWhenUsed/>
    <w:rsid w:val="005F0D4D"/>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F0D4D"/>
    <w:rPr>
      <w:b/>
      <w:bCs/>
    </w:rPr>
  </w:style>
  <w:style w:type="character" w:styleId="a7">
    <w:name w:val="Hyperlink"/>
    <w:basedOn w:val="a0"/>
    <w:uiPriority w:val="99"/>
    <w:semiHidden/>
    <w:unhideWhenUsed/>
    <w:rsid w:val="005F0D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97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505</Words>
  <Characters>2880</Characters>
  <Application>Microsoft Office Word</Application>
  <DocSecurity>0</DocSecurity>
  <Lines>24</Lines>
  <Paragraphs>6</Paragraphs>
  <ScaleCrop>false</ScaleCrop>
  <Company>Microsoft</Company>
  <LinksUpToDate>false</LinksUpToDate>
  <CharactersWithSpaces>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2017-11-29T06:52:00Z</dcterms:created>
  <dcterms:modified xsi:type="dcterms:W3CDTF">2017-11-29T06:53:00Z</dcterms:modified>
</cp:coreProperties>
</file>