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30E" w:rsidRPr="00CD230E" w:rsidRDefault="00CD230E" w:rsidP="00CD230E">
      <w:pPr>
        <w:widowControl/>
        <w:shd w:val="clear" w:color="auto" w:fill="FFFFFF"/>
        <w:jc w:val="center"/>
        <w:outlineLvl w:val="0"/>
        <w:rPr>
          <w:rFonts w:ascii="宋体" w:eastAsia="宋体" w:hAnsi="宋体" w:cs="宋体"/>
          <w:b/>
          <w:bCs/>
          <w:color w:val="464445"/>
          <w:kern w:val="36"/>
          <w:szCs w:val="21"/>
        </w:rPr>
      </w:pPr>
      <w:r w:rsidRPr="00CD230E">
        <w:rPr>
          <w:rFonts w:ascii="宋体" w:eastAsia="宋体" w:hAnsi="宋体" w:cs="宋体" w:hint="eastAsia"/>
          <w:b/>
          <w:bCs/>
          <w:color w:val="464445"/>
          <w:kern w:val="36"/>
          <w:szCs w:val="21"/>
        </w:rPr>
        <w:t>最高人民法院关于审理工伤保险行政案件若干问题的规定</w:t>
      </w:r>
    </w:p>
    <w:p w:rsidR="00FE7A56" w:rsidRDefault="00CD230E" w:rsidP="00CD230E">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中华人民共和国最高人民法院公告</w:t>
      </w:r>
      <w:r>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《最高人民法院关于审理工伤保险行政案件若干问题的规定》已于2014年4月21日由最高人民法院审判委员会第1613次会议通过，现予公布，自2014年9月1日起施行。</w:t>
      </w:r>
      <w:r>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最高人民法院 </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2014年6月18日 </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bookmarkStart w:id="0" w:name="_GoBack"/>
      <w:bookmarkEnd w:id="0"/>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最高人民法院关于审理工伤保险行政案件若干问题的规定 </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（2014年4月21日最高人民法院审判委员会第1613次会议通过）</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为正确审理工伤保险行政案件，根据《中华人民共和国社会保险法》《中华人民共和国劳动法》《中华人民共和国行政诉讼法》《工伤保险条例》及其他有关法律、行政法规规定，结合行政审判实际，制定本规定。</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第一条 人民法院审理工伤认定行政案件，在认定是否存在《工伤保险条例》第十四条第（六）项“本人主要责任”、第十六条第（二）项“醉酒或者吸毒”和第十六条第（三）项“自残或者自杀”等情形时，应当以有权机构出具的事故责任认定书、结论性意见和人民法院生效裁判等法律文书为依据，但有相反证据足以推翻事故责任认定书和结论性意见的除外。</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前述法律文书不存在或者内容不明确，社会保险行政部门就前款事实</w:t>
      </w:r>
      <w:proofErr w:type="gramStart"/>
      <w:r w:rsidRPr="00CD230E">
        <w:rPr>
          <w:rFonts w:ascii="宋体" w:eastAsia="宋体" w:hAnsi="宋体" w:cs="宋体" w:hint="eastAsia"/>
          <w:color w:val="464445"/>
          <w:kern w:val="0"/>
          <w:szCs w:val="21"/>
          <w:shd w:val="clear" w:color="auto" w:fill="FFFFFF"/>
        </w:rPr>
        <w:t>作出</w:t>
      </w:r>
      <w:proofErr w:type="gramEnd"/>
      <w:r w:rsidRPr="00CD230E">
        <w:rPr>
          <w:rFonts w:ascii="宋体" w:eastAsia="宋体" w:hAnsi="宋体" w:cs="宋体" w:hint="eastAsia"/>
          <w:color w:val="464445"/>
          <w:kern w:val="0"/>
          <w:szCs w:val="21"/>
          <w:shd w:val="clear" w:color="auto" w:fill="FFFFFF"/>
        </w:rPr>
        <w:t>认定的，人民法院应当结合其提供的相关证据依法进行审查。</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《工伤保险条例》第十六条第（一）项“故意犯罪”的认定，应当以刑事</w:t>
      </w:r>
      <w:proofErr w:type="gramStart"/>
      <w:r w:rsidRPr="00CD230E">
        <w:rPr>
          <w:rFonts w:ascii="宋体" w:eastAsia="宋体" w:hAnsi="宋体" w:cs="宋体" w:hint="eastAsia"/>
          <w:color w:val="464445"/>
          <w:kern w:val="0"/>
          <w:szCs w:val="21"/>
          <w:shd w:val="clear" w:color="auto" w:fill="FFFFFF"/>
        </w:rPr>
        <w:t>侦查机</w:t>
      </w:r>
      <w:proofErr w:type="gramEnd"/>
      <w:r w:rsidRPr="00CD230E">
        <w:rPr>
          <w:rFonts w:ascii="宋体" w:eastAsia="宋体" w:hAnsi="宋体" w:cs="宋体" w:hint="eastAsia"/>
          <w:color w:val="464445"/>
          <w:kern w:val="0"/>
          <w:szCs w:val="21"/>
          <w:shd w:val="clear" w:color="auto" w:fill="FFFFFF"/>
        </w:rPr>
        <w:t>关、检察机关和审判机关的生效法律文书或者结论性意见为依据。</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第二条 人民法院受理工伤认定行政案件后，发现原告或者第三人在提起行政诉讼前已经就是否存在劳动关系申请劳动仲裁或者提起民事诉讼的，应当中止行政案件的审理。</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第三条 社会保险行政部门认定下列单位为承担工伤保险责任单位的，人民法院应</w:t>
      </w:r>
      <w:proofErr w:type="gramStart"/>
      <w:r w:rsidRPr="00CD230E">
        <w:rPr>
          <w:rFonts w:ascii="宋体" w:eastAsia="宋体" w:hAnsi="宋体" w:cs="宋体" w:hint="eastAsia"/>
          <w:color w:val="464445"/>
          <w:kern w:val="0"/>
          <w:szCs w:val="21"/>
          <w:shd w:val="clear" w:color="auto" w:fill="FFFFFF"/>
        </w:rPr>
        <w:t>予支</w:t>
      </w:r>
      <w:proofErr w:type="gramEnd"/>
      <w:r w:rsidRPr="00CD230E">
        <w:rPr>
          <w:rFonts w:ascii="宋体" w:eastAsia="宋体" w:hAnsi="宋体" w:cs="宋体" w:hint="eastAsia"/>
          <w:color w:val="464445"/>
          <w:kern w:val="0"/>
          <w:szCs w:val="21"/>
          <w:shd w:val="clear" w:color="auto" w:fill="FFFFFF"/>
        </w:rPr>
        <w:t>持：</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（一）职工与两个或两个以上单位建立劳动关系，工伤事故发生时，职工为之工作的单位为承担工伤保险责任的单位；</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（二）劳务派遣单位派遣的职工在用工单位工作期间因工伤亡的，派遣单位为承担工伤保险</w:t>
      </w:r>
      <w:r w:rsidRPr="00CD230E">
        <w:rPr>
          <w:rFonts w:ascii="宋体" w:eastAsia="宋体" w:hAnsi="宋体" w:cs="宋体" w:hint="eastAsia"/>
          <w:color w:val="464445"/>
          <w:kern w:val="0"/>
          <w:szCs w:val="21"/>
          <w:shd w:val="clear" w:color="auto" w:fill="FFFFFF"/>
        </w:rPr>
        <w:lastRenderedPageBreak/>
        <w:t>责任的单位；</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（三）单位指派到其他单位工作的职工因工伤亡的，指派单位为承担工伤保险责任的单位；</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（四）用工单位违反法律、法规规定将承包业务转包给不具备用工主体资格的组织或者自然人，该组织或者自然人聘用的职工从事承包业务时因工伤亡的，用工单位为承担工伤保险责任的单位；</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（五）个人挂靠其他单位对外经营，其聘用的人员因工伤亡的，被挂靠单位为承担工伤保险责任的单位。</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前款第（四）、（五）</w:t>
      </w:r>
      <w:proofErr w:type="gramStart"/>
      <w:r w:rsidRPr="00CD230E">
        <w:rPr>
          <w:rFonts w:ascii="宋体" w:eastAsia="宋体" w:hAnsi="宋体" w:cs="宋体" w:hint="eastAsia"/>
          <w:color w:val="464445"/>
          <w:kern w:val="0"/>
          <w:szCs w:val="21"/>
          <w:shd w:val="clear" w:color="auto" w:fill="FFFFFF"/>
        </w:rPr>
        <w:t>项明确</w:t>
      </w:r>
      <w:proofErr w:type="gramEnd"/>
      <w:r w:rsidRPr="00CD230E">
        <w:rPr>
          <w:rFonts w:ascii="宋体" w:eastAsia="宋体" w:hAnsi="宋体" w:cs="宋体" w:hint="eastAsia"/>
          <w:color w:val="464445"/>
          <w:kern w:val="0"/>
          <w:szCs w:val="21"/>
          <w:shd w:val="clear" w:color="auto" w:fill="FFFFFF"/>
        </w:rPr>
        <w:t>的承担工伤保险责任的单位承担赔偿责任或者社会保险经办机构从工伤保险基金支付工伤保险待遇后，有权向相关组织、单位和个人追偿。</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第四条 社会保险行政部门认定下列情形为工伤的，人民法院应</w:t>
      </w:r>
      <w:proofErr w:type="gramStart"/>
      <w:r w:rsidRPr="00CD230E">
        <w:rPr>
          <w:rFonts w:ascii="宋体" w:eastAsia="宋体" w:hAnsi="宋体" w:cs="宋体" w:hint="eastAsia"/>
          <w:color w:val="464445"/>
          <w:kern w:val="0"/>
          <w:szCs w:val="21"/>
          <w:shd w:val="clear" w:color="auto" w:fill="FFFFFF"/>
        </w:rPr>
        <w:t>予支</w:t>
      </w:r>
      <w:proofErr w:type="gramEnd"/>
      <w:r w:rsidRPr="00CD230E">
        <w:rPr>
          <w:rFonts w:ascii="宋体" w:eastAsia="宋体" w:hAnsi="宋体" w:cs="宋体" w:hint="eastAsia"/>
          <w:color w:val="464445"/>
          <w:kern w:val="0"/>
          <w:szCs w:val="21"/>
          <w:shd w:val="clear" w:color="auto" w:fill="FFFFFF"/>
        </w:rPr>
        <w:t>持：</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（一）职工在工作时间和工作场所内受到伤害，用人单位或者社会保险行政部门没有证据证明是非工作原因导致的；</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（二）职工参加用人单位组织或者受用人单位指派参加其他单位组织的活动受到伤害的；</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（三）在工作时间内，职工来往于多个与其工作职责相关的工作场所之间的合理区域因工受到伤害的；</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（四）其他与履行工作职责相关，在工作时间及合理区域内受到伤害的。</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第五条 社会保险行政部门认定下列情形为“因工外出期间”的，人民法院应</w:t>
      </w:r>
      <w:proofErr w:type="gramStart"/>
      <w:r w:rsidRPr="00CD230E">
        <w:rPr>
          <w:rFonts w:ascii="宋体" w:eastAsia="宋体" w:hAnsi="宋体" w:cs="宋体" w:hint="eastAsia"/>
          <w:color w:val="464445"/>
          <w:kern w:val="0"/>
          <w:szCs w:val="21"/>
          <w:shd w:val="clear" w:color="auto" w:fill="FFFFFF"/>
        </w:rPr>
        <w:t>予支</w:t>
      </w:r>
      <w:proofErr w:type="gramEnd"/>
      <w:r w:rsidRPr="00CD230E">
        <w:rPr>
          <w:rFonts w:ascii="宋体" w:eastAsia="宋体" w:hAnsi="宋体" w:cs="宋体" w:hint="eastAsia"/>
          <w:color w:val="464445"/>
          <w:kern w:val="0"/>
          <w:szCs w:val="21"/>
          <w:shd w:val="clear" w:color="auto" w:fill="FFFFFF"/>
        </w:rPr>
        <w:t>持：</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（一）职工受用人单位指派或者因工作需要在工作场所以外从事与工作职责有关的活动期间；</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（二）职工受用人单位指派外出学习或者开会期间；</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（三）职工因工作需要的其他外出活动期间。</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职工因工外出期间从事与工作或者受用人单位指派外出学习、开会无关的个人活动受到伤害，社会保险行政部门</w:t>
      </w:r>
      <w:proofErr w:type="gramStart"/>
      <w:r w:rsidRPr="00CD230E">
        <w:rPr>
          <w:rFonts w:ascii="宋体" w:eastAsia="宋体" w:hAnsi="宋体" w:cs="宋体" w:hint="eastAsia"/>
          <w:color w:val="464445"/>
          <w:kern w:val="0"/>
          <w:szCs w:val="21"/>
          <w:shd w:val="clear" w:color="auto" w:fill="FFFFFF"/>
        </w:rPr>
        <w:t>不</w:t>
      </w:r>
      <w:proofErr w:type="gramEnd"/>
      <w:r w:rsidRPr="00CD230E">
        <w:rPr>
          <w:rFonts w:ascii="宋体" w:eastAsia="宋体" w:hAnsi="宋体" w:cs="宋体" w:hint="eastAsia"/>
          <w:color w:val="464445"/>
          <w:kern w:val="0"/>
          <w:szCs w:val="21"/>
          <w:shd w:val="clear" w:color="auto" w:fill="FFFFFF"/>
        </w:rPr>
        <w:t>认定为工伤的，人民法院应</w:t>
      </w:r>
      <w:proofErr w:type="gramStart"/>
      <w:r w:rsidRPr="00CD230E">
        <w:rPr>
          <w:rFonts w:ascii="宋体" w:eastAsia="宋体" w:hAnsi="宋体" w:cs="宋体" w:hint="eastAsia"/>
          <w:color w:val="464445"/>
          <w:kern w:val="0"/>
          <w:szCs w:val="21"/>
          <w:shd w:val="clear" w:color="auto" w:fill="FFFFFF"/>
        </w:rPr>
        <w:t>予支</w:t>
      </w:r>
      <w:proofErr w:type="gramEnd"/>
      <w:r w:rsidRPr="00CD230E">
        <w:rPr>
          <w:rFonts w:ascii="宋体" w:eastAsia="宋体" w:hAnsi="宋体" w:cs="宋体" w:hint="eastAsia"/>
          <w:color w:val="464445"/>
          <w:kern w:val="0"/>
          <w:szCs w:val="21"/>
          <w:shd w:val="clear" w:color="auto" w:fill="FFFFFF"/>
        </w:rPr>
        <w:t>持。</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第六条 对社会保险行政部门认定下列情形为“上下班途中”的，人民法院应</w:t>
      </w:r>
      <w:proofErr w:type="gramStart"/>
      <w:r w:rsidRPr="00CD230E">
        <w:rPr>
          <w:rFonts w:ascii="宋体" w:eastAsia="宋体" w:hAnsi="宋体" w:cs="宋体" w:hint="eastAsia"/>
          <w:color w:val="464445"/>
          <w:kern w:val="0"/>
          <w:szCs w:val="21"/>
          <w:shd w:val="clear" w:color="auto" w:fill="FFFFFF"/>
        </w:rPr>
        <w:t>予支</w:t>
      </w:r>
      <w:proofErr w:type="gramEnd"/>
      <w:r w:rsidRPr="00CD230E">
        <w:rPr>
          <w:rFonts w:ascii="宋体" w:eastAsia="宋体" w:hAnsi="宋体" w:cs="宋体" w:hint="eastAsia"/>
          <w:color w:val="464445"/>
          <w:kern w:val="0"/>
          <w:szCs w:val="21"/>
          <w:shd w:val="clear" w:color="auto" w:fill="FFFFFF"/>
        </w:rPr>
        <w:t>持：</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（一）在合理时间内往返于工作地与住所地、经常居住地、单位宿舍的合理路线的上下班途中；</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（二）在合理时间内往返于工作地与配偶、父母、子女居住地的合理路线的上下班途中；</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lastRenderedPageBreak/>
        <w:t>（三）从事属于日常工作生活所需要的活动，且在合理时间和合理路线的上下班途中；</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（四）在合理时间内其他合理路线的上下班途中。</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第七条 由于不属于职工或者其近亲属自身原因超过工伤认定申请期限的，被耽误的时间不计算在工伤认定申请期限内。</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有下列情形之一耽误申请时间的，应当认定为不属于职工或者其近亲属自身原因：</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（一）不可抗力；</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（二）人身自由受到限制；</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（三）属于用人单位原因；</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（四）社会保险行政部门登记制度不完善；</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（五）当事人对是否存在劳动关系申请仲裁、提起民事诉讼。</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第八条 职工因第三人的原因受到伤害，社会保险行政部门以职工或者其近亲属已经对第三人提起民事诉讼或者获得民事赔偿为由，</w:t>
      </w:r>
      <w:proofErr w:type="gramStart"/>
      <w:r w:rsidRPr="00CD230E">
        <w:rPr>
          <w:rFonts w:ascii="宋体" w:eastAsia="宋体" w:hAnsi="宋体" w:cs="宋体" w:hint="eastAsia"/>
          <w:color w:val="464445"/>
          <w:kern w:val="0"/>
          <w:szCs w:val="21"/>
          <w:shd w:val="clear" w:color="auto" w:fill="FFFFFF"/>
        </w:rPr>
        <w:t>作出</w:t>
      </w:r>
      <w:proofErr w:type="gramEnd"/>
      <w:r w:rsidRPr="00CD230E">
        <w:rPr>
          <w:rFonts w:ascii="宋体" w:eastAsia="宋体" w:hAnsi="宋体" w:cs="宋体" w:hint="eastAsia"/>
          <w:color w:val="464445"/>
          <w:kern w:val="0"/>
          <w:szCs w:val="21"/>
          <w:shd w:val="clear" w:color="auto" w:fill="FFFFFF"/>
        </w:rPr>
        <w:t>不予受理工伤认定申请或者不予认定工伤决定的，人民法院不予支持。</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职工因第三人的原因受到伤害，社会保险行政部门已经</w:t>
      </w:r>
      <w:proofErr w:type="gramStart"/>
      <w:r w:rsidRPr="00CD230E">
        <w:rPr>
          <w:rFonts w:ascii="宋体" w:eastAsia="宋体" w:hAnsi="宋体" w:cs="宋体" w:hint="eastAsia"/>
          <w:color w:val="464445"/>
          <w:kern w:val="0"/>
          <w:szCs w:val="21"/>
          <w:shd w:val="clear" w:color="auto" w:fill="FFFFFF"/>
        </w:rPr>
        <w:t>作出</w:t>
      </w:r>
      <w:proofErr w:type="gramEnd"/>
      <w:r w:rsidRPr="00CD230E">
        <w:rPr>
          <w:rFonts w:ascii="宋体" w:eastAsia="宋体" w:hAnsi="宋体" w:cs="宋体" w:hint="eastAsia"/>
          <w:color w:val="464445"/>
          <w:kern w:val="0"/>
          <w:szCs w:val="21"/>
          <w:shd w:val="clear" w:color="auto" w:fill="FFFFFF"/>
        </w:rPr>
        <w:t>工伤认定，职工或者其近亲属未对第三人提起民事诉讼或者尚未获得民事赔偿，起诉要求社会保险经办机构支付工伤保险待遇的，人民法院应</w:t>
      </w:r>
      <w:proofErr w:type="gramStart"/>
      <w:r w:rsidRPr="00CD230E">
        <w:rPr>
          <w:rFonts w:ascii="宋体" w:eastAsia="宋体" w:hAnsi="宋体" w:cs="宋体" w:hint="eastAsia"/>
          <w:color w:val="464445"/>
          <w:kern w:val="0"/>
          <w:szCs w:val="21"/>
          <w:shd w:val="clear" w:color="auto" w:fill="FFFFFF"/>
        </w:rPr>
        <w:t>予支</w:t>
      </w:r>
      <w:proofErr w:type="gramEnd"/>
      <w:r w:rsidRPr="00CD230E">
        <w:rPr>
          <w:rFonts w:ascii="宋体" w:eastAsia="宋体" w:hAnsi="宋体" w:cs="宋体" w:hint="eastAsia"/>
          <w:color w:val="464445"/>
          <w:kern w:val="0"/>
          <w:szCs w:val="21"/>
          <w:shd w:val="clear" w:color="auto" w:fill="FFFFFF"/>
        </w:rPr>
        <w:t>持。</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职工因第三人的原因导致工伤，社会保险经办机构以职工或者其近亲属已经对第三人提起民事诉讼为由，拒绝支付工伤保险待遇的，人民法院不予支持，但第三人已经支付的医疗费用除外。</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第九条 因工伤认定申请人或者用人单位隐瞒有关情况或者提供虚假材料，导致工伤认定错误的，社会保险行政部门可以在诉讼中依法予以更正。</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工伤认定依法更正后，原告不申请撤诉，社会保险行政部门在</w:t>
      </w:r>
      <w:proofErr w:type="gramStart"/>
      <w:r w:rsidRPr="00CD230E">
        <w:rPr>
          <w:rFonts w:ascii="宋体" w:eastAsia="宋体" w:hAnsi="宋体" w:cs="宋体" w:hint="eastAsia"/>
          <w:color w:val="464445"/>
          <w:kern w:val="0"/>
          <w:szCs w:val="21"/>
          <w:shd w:val="clear" w:color="auto" w:fill="FFFFFF"/>
        </w:rPr>
        <w:t>作出</w:t>
      </w:r>
      <w:proofErr w:type="gramEnd"/>
      <w:r w:rsidRPr="00CD230E">
        <w:rPr>
          <w:rFonts w:ascii="宋体" w:eastAsia="宋体" w:hAnsi="宋体" w:cs="宋体" w:hint="eastAsia"/>
          <w:color w:val="464445"/>
          <w:kern w:val="0"/>
          <w:szCs w:val="21"/>
          <w:shd w:val="clear" w:color="auto" w:fill="FFFFFF"/>
        </w:rPr>
        <w:t>原工伤认定时有过错的，人民法院应当判决确认违法；社会保险行政部门无过错的，人民法院可以驳回原告诉讼请求。</w:t>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rPr>
        <w:br/>
      </w:r>
      <w:r w:rsidRPr="00CD230E">
        <w:rPr>
          <w:rFonts w:ascii="宋体" w:eastAsia="宋体" w:hAnsi="宋体" w:cs="宋体" w:hint="eastAsia"/>
          <w:color w:val="464445"/>
          <w:kern w:val="0"/>
          <w:szCs w:val="21"/>
          <w:shd w:val="clear" w:color="auto" w:fill="FFFFFF"/>
        </w:rPr>
        <w:t>第十条 最高人民法院以前颁布的司法解释与本规定不一致的，以本规定为准。</w:t>
      </w:r>
    </w:p>
    <w:sectPr w:rsidR="00FE7A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30E" w:rsidRDefault="00CD230E" w:rsidP="00CD230E">
      <w:r>
        <w:separator/>
      </w:r>
    </w:p>
  </w:endnote>
  <w:endnote w:type="continuationSeparator" w:id="0">
    <w:p w:rsidR="00CD230E" w:rsidRDefault="00CD230E" w:rsidP="00CD2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30E" w:rsidRDefault="00CD230E" w:rsidP="00CD230E">
      <w:r>
        <w:separator/>
      </w:r>
    </w:p>
  </w:footnote>
  <w:footnote w:type="continuationSeparator" w:id="0">
    <w:p w:rsidR="00CD230E" w:rsidRDefault="00CD230E" w:rsidP="00CD23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3BE"/>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03BE"/>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D230E"/>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D230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D23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230E"/>
    <w:rPr>
      <w:sz w:val="18"/>
      <w:szCs w:val="18"/>
    </w:rPr>
  </w:style>
  <w:style w:type="paragraph" w:styleId="a4">
    <w:name w:val="footer"/>
    <w:basedOn w:val="a"/>
    <w:link w:val="Char0"/>
    <w:uiPriority w:val="99"/>
    <w:unhideWhenUsed/>
    <w:rsid w:val="00CD230E"/>
    <w:pPr>
      <w:tabs>
        <w:tab w:val="center" w:pos="4153"/>
        <w:tab w:val="right" w:pos="8306"/>
      </w:tabs>
      <w:snapToGrid w:val="0"/>
      <w:jc w:val="left"/>
    </w:pPr>
    <w:rPr>
      <w:sz w:val="18"/>
      <w:szCs w:val="18"/>
    </w:rPr>
  </w:style>
  <w:style w:type="character" w:customStyle="1" w:styleId="Char0">
    <w:name w:val="页脚 Char"/>
    <w:basedOn w:val="a0"/>
    <w:link w:val="a4"/>
    <w:uiPriority w:val="99"/>
    <w:rsid w:val="00CD230E"/>
    <w:rPr>
      <w:sz w:val="18"/>
      <w:szCs w:val="18"/>
    </w:rPr>
  </w:style>
  <w:style w:type="character" w:customStyle="1" w:styleId="1Char">
    <w:name w:val="标题 1 Char"/>
    <w:basedOn w:val="a0"/>
    <w:link w:val="1"/>
    <w:uiPriority w:val="9"/>
    <w:rsid w:val="00CD230E"/>
    <w:rPr>
      <w:rFonts w:ascii="宋体" w:eastAsia="宋体" w:hAnsi="宋体" w:cs="宋体"/>
      <w:b/>
      <w:bCs/>
      <w:kern w:val="36"/>
      <w:sz w:val="48"/>
      <w:szCs w:val="48"/>
    </w:rPr>
  </w:style>
  <w:style w:type="character" w:styleId="a5">
    <w:name w:val="Hyperlink"/>
    <w:basedOn w:val="a0"/>
    <w:uiPriority w:val="99"/>
    <w:semiHidden/>
    <w:unhideWhenUsed/>
    <w:rsid w:val="00CD230E"/>
    <w:rPr>
      <w:color w:val="0000FF"/>
      <w:u w:val="single"/>
    </w:rPr>
  </w:style>
  <w:style w:type="character" w:customStyle="1" w:styleId="apple-converted-space">
    <w:name w:val="apple-converted-space"/>
    <w:basedOn w:val="a0"/>
    <w:rsid w:val="00CD23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D230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D23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230E"/>
    <w:rPr>
      <w:sz w:val="18"/>
      <w:szCs w:val="18"/>
    </w:rPr>
  </w:style>
  <w:style w:type="paragraph" w:styleId="a4">
    <w:name w:val="footer"/>
    <w:basedOn w:val="a"/>
    <w:link w:val="Char0"/>
    <w:uiPriority w:val="99"/>
    <w:unhideWhenUsed/>
    <w:rsid w:val="00CD230E"/>
    <w:pPr>
      <w:tabs>
        <w:tab w:val="center" w:pos="4153"/>
        <w:tab w:val="right" w:pos="8306"/>
      </w:tabs>
      <w:snapToGrid w:val="0"/>
      <w:jc w:val="left"/>
    </w:pPr>
    <w:rPr>
      <w:sz w:val="18"/>
      <w:szCs w:val="18"/>
    </w:rPr>
  </w:style>
  <w:style w:type="character" w:customStyle="1" w:styleId="Char0">
    <w:name w:val="页脚 Char"/>
    <w:basedOn w:val="a0"/>
    <w:link w:val="a4"/>
    <w:uiPriority w:val="99"/>
    <w:rsid w:val="00CD230E"/>
    <w:rPr>
      <w:sz w:val="18"/>
      <w:szCs w:val="18"/>
    </w:rPr>
  </w:style>
  <w:style w:type="character" w:customStyle="1" w:styleId="1Char">
    <w:name w:val="标题 1 Char"/>
    <w:basedOn w:val="a0"/>
    <w:link w:val="1"/>
    <w:uiPriority w:val="9"/>
    <w:rsid w:val="00CD230E"/>
    <w:rPr>
      <w:rFonts w:ascii="宋体" w:eastAsia="宋体" w:hAnsi="宋体" w:cs="宋体"/>
      <w:b/>
      <w:bCs/>
      <w:kern w:val="36"/>
      <w:sz w:val="48"/>
      <w:szCs w:val="48"/>
    </w:rPr>
  </w:style>
  <w:style w:type="character" w:styleId="a5">
    <w:name w:val="Hyperlink"/>
    <w:basedOn w:val="a0"/>
    <w:uiPriority w:val="99"/>
    <w:semiHidden/>
    <w:unhideWhenUsed/>
    <w:rsid w:val="00CD230E"/>
    <w:rPr>
      <w:color w:val="0000FF"/>
      <w:u w:val="single"/>
    </w:rPr>
  </w:style>
  <w:style w:type="character" w:customStyle="1" w:styleId="apple-converted-space">
    <w:name w:val="apple-converted-space"/>
    <w:basedOn w:val="a0"/>
    <w:rsid w:val="00CD23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0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344</Words>
  <Characters>1967</Characters>
  <Application>Microsoft Office Word</Application>
  <DocSecurity>0</DocSecurity>
  <Lines>16</Lines>
  <Paragraphs>4</Paragraphs>
  <ScaleCrop>false</ScaleCrop>
  <Company>Microsoft</Company>
  <LinksUpToDate>false</LinksUpToDate>
  <CharactersWithSpaces>2307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2017-11-29T06:32:00Z</dcterms:created>
  <dcterms:modified xsi:type="dcterms:W3CDTF">2017-11-29T06:33:00Z</dcterms:modified>
</cp:coreProperties>
</file>