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10E9" w:rsidRPr="00DE10E9" w:rsidRDefault="00DE10E9" w:rsidP="00DE10E9">
      <w:pPr>
        <w:widowControl/>
        <w:jc w:val="center"/>
        <w:rPr>
          <w:rFonts w:ascii="Microsoft Yahei" w:eastAsia="宋体" w:hAnsi="Microsoft Yahei" w:cs="宋体"/>
          <w:color w:val="333333"/>
          <w:kern w:val="0"/>
          <w:sz w:val="48"/>
          <w:szCs w:val="48"/>
        </w:rPr>
      </w:pPr>
      <w:r w:rsidRPr="00DE10E9">
        <w:rPr>
          <w:rFonts w:ascii="Microsoft Yahei" w:eastAsia="宋体" w:hAnsi="Microsoft Yahei" w:cs="宋体"/>
          <w:color w:val="333333"/>
          <w:kern w:val="0"/>
          <w:sz w:val="48"/>
          <w:szCs w:val="48"/>
        </w:rPr>
        <w:t>国务院关于完善企业职工基本养老保险制度的决定</w:t>
      </w:r>
      <w:r w:rsidRPr="00DE10E9">
        <w:rPr>
          <w:rFonts w:ascii="Microsoft Yahei" w:eastAsia="宋体" w:hAnsi="Microsoft Yahei" w:cs="宋体"/>
          <w:color w:val="333333"/>
          <w:kern w:val="0"/>
          <w:sz w:val="48"/>
          <w:szCs w:val="48"/>
        </w:rPr>
        <w:br/>
      </w:r>
      <w:r w:rsidRPr="00DE10E9">
        <w:rPr>
          <w:rFonts w:ascii="Microsoft Yahei" w:eastAsia="宋体" w:hAnsi="Microsoft Yahei" w:cs="宋体"/>
          <w:color w:val="333333"/>
          <w:kern w:val="0"/>
          <w:sz w:val="48"/>
          <w:szCs w:val="48"/>
        </w:rPr>
        <w:t>（国发〔</w:t>
      </w:r>
      <w:r w:rsidRPr="00DE10E9">
        <w:rPr>
          <w:rFonts w:ascii="Microsoft Yahei" w:eastAsia="宋体" w:hAnsi="Microsoft Yahei" w:cs="宋体"/>
          <w:color w:val="333333"/>
          <w:kern w:val="0"/>
          <w:sz w:val="48"/>
          <w:szCs w:val="48"/>
        </w:rPr>
        <w:t>2005</w:t>
      </w:r>
      <w:r w:rsidRPr="00DE10E9">
        <w:rPr>
          <w:rFonts w:ascii="Microsoft Yahei" w:eastAsia="宋体" w:hAnsi="Microsoft Yahei" w:cs="宋体"/>
          <w:color w:val="333333"/>
          <w:kern w:val="0"/>
          <w:sz w:val="48"/>
          <w:szCs w:val="48"/>
        </w:rPr>
        <w:t>〕</w:t>
      </w:r>
      <w:r w:rsidRPr="00DE10E9">
        <w:rPr>
          <w:rFonts w:ascii="Microsoft Yahei" w:eastAsia="宋体" w:hAnsi="Microsoft Yahei" w:cs="宋体"/>
          <w:color w:val="333333"/>
          <w:kern w:val="0"/>
          <w:sz w:val="48"/>
          <w:szCs w:val="48"/>
        </w:rPr>
        <w:t>38</w:t>
      </w:r>
      <w:r w:rsidRPr="00DE10E9">
        <w:rPr>
          <w:rFonts w:ascii="Microsoft Yahei" w:eastAsia="宋体" w:hAnsi="Microsoft Yahei" w:cs="宋体"/>
          <w:color w:val="333333"/>
          <w:kern w:val="0"/>
          <w:sz w:val="48"/>
          <w:szCs w:val="48"/>
        </w:rPr>
        <w:t>号）</w:t>
      </w:r>
    </w:p>
    <w:p w:rsidR="00DE10E9" w:rsidRPr="00DE10E9" w:rsidRDefault="00DE10E9" w:rsidP="00DE10E9">
      <w:pPr>
        <w:widowControl/>
        <w:jc w:val="center"/>
        <w:rPr>
          <w:rFonts w:ascii="Microsoft Yahei" w:eastAsia="宋体" w:hAnsi="Microsoft Yahei" w:cs="宋体"/>
          <w:color w:val="898989"/>
          <w:kern w:val="0"/>
          <w:sz w:val="18"/>
          <w:szCs w:val="18"/>
        </w:rPr>
      </w:pPr>
      <w:r w:rsidRPr="00DE10E9">
        <w:rPr>
          <w:rFonts w:ascii="Microsoft Yahei" w:eastAsia="宋体" w:hAnsi="Microsoft Yahei" w:cs="宋体"/>
          <w:color w:val="898989"/>
          <w:kern w:val="0"/>
          <w:sz w:val="18"/>
          <w:szCs w:val="18"/>
        </w:rPr>
        <w:t xml:space="preserve">中央政府门户网站　</w:t>
      </w:r>
      <w:r w:rsidRPr="00DE10E9">
        <w:rPr>
          <w:rFonts w:ascii="Microsoft Yahei" w:eastAsia="宋体" w:hAnsi="Microsoft Yahei" w:cs="宋体"/>
          <w:color w:val="898989"/>
          <w:kern w:val="0"/>
          <w:sz w:val="18"/>
          <w:szCs w:val="18"/>
        </w:rPr>
        <w:t>www.gov.cn </w:t>
      </w:r>
      <w:r w:rsidRPr="00DE10E9">
        <w:rPr>
          <w:rFonts w:ascii="Microsoft Yahei" w:eastAsia="宋体" w:hAnsi="Microsoft Yahei" w:cs="宋体"/>
          <w:color w:val="898989"/>
          <w:kern w:val="0"/>
          <w:sz w:val="18"/>
          <w:szCs w:val="18"/>
        </w:rPr>
        <w:t>来源：</w:t>
      </w:r>
    </w:p>
    <w:p w:rsidR="00DE10E9" w:rsidRPr="00DE10E9" w:rsidRDefault="00DE10E9" w:rsidP="00DE10E9">
      <w:pPr>
        <w:widowControl/>
        <w:jc w:val="center"/>
        <w:rPr>
          <w:rFonts w:ascii="Microsoft Yahei" w:eastAsia="宋体" w:hAnsi="Microsoft Yahei" w:cs="宋体"/>
          <w:color w:val="333333"/>
          <w:kern w:val="0"/>
          <w:sz w:val="18"/>
          <w:szCs w:val="18"/>
        </w:rPr>
      </w:pPr>
      <w:r w:rsidRPr="00DE10E9">
        <w:rPr>
          <w:rFonts w:ascii="Microsoft Yahei" w:eastAsia="宋体" w:hAnsi="Microsoft Yahei" w:cs="宋体"/>
          <w:color w:val="333333"/>
          <w:kern w:val="0"/>
          <w:sz w:val="18"/>
          <w:szCs w:val="18"/>
        </w:rPr>
        <w:t>【字体：大</w:t>
      </w:r>
      <w:r w:rsidRPr="00DE10E9">
        <w:rPr>
          <w:rFonts w:ascii="Microsoft Yahei" w:eastAsia="宋体" w:hAnsi="Microsoft Yahei" w:cs="宋体"/>
          <w:color w:val="333333"/>
          <w:kern w:val="0"/>
          <w:sz w:val="18"/>
          <w:szCs w:val="18"/>
        </w:rPr>
        <w:t> </w:t>
      </w:r>
      <w:r w:rsidRPr="00DE10E9">
        <w:rPr>
          <w:rFonts w:ascii="Microsoft Yahei" w:eastAsia="宋体" w:hAnsi="Microsoft Yahei" w:cs="宋体"/>
          <w:color w:val="333333"/>
          <w:kern w:val="0"/>
          <w:sz w:val="18"/>
          <w:szCs w:val="18"/>
        </w:rPr>
        <w:t>中</w:t>
      </w:r>
      <w:r w:rsidRPr="00DE10E9">
        <w:rPr>
          <w:rFonts w:ascii="Microsoft Yahei" w:eastAsia="宋体" w:hAnsi="Microsoft Yahei" w:cs="宋体"/>
          <w:color w:val="333333"/>
          <w:kern w:val="0"/>
          <w:sz w:val="18"/>
          <w:szCs w:val="18"/>
        </w:rPr>
        <w:t> </w:t>
      </w:r>
      <w:r w:rsidRPr="00DE10E9">
        <w:rPr>
          <w:rFonts w:ascii="Microsoft Yahei" w:eastAsia="宋体" w:hAnsi="Microsoft Yahei" w:cs="宋体"/>
          <w:color w:val="333333"/>
          <w:kern w:val="0"/>
          <w:sz w:val="18"/>
          <w:szCs w:val="18"/>
        </w:rPr>
        <w:t>小】</w:t>
      </w:r>
      <w:r w:rsidRPr="00DE10E9">
        <w:rPr>
          <w:rFonts w:ascii="Microsoft Yahei" w:eastAsia="宋体" w:hAnsi="Microsoft Yahei" w:cs="宋体"/>
          <w:color w:val="898989"/>
          <w:kern w:val="0"/>
          <w:sz w:val="18"/>
          <w:szCs w:val="18"/>
        </w:rPr>
        <w:t>打印本页</w:t>
      </w:r>
    </w:p>
    <w:p w:rsidR="00DE10E9" w:rsidRPr="00DE10E9" w:rsidRDefault="00DE10E9" w:rsidP="00DE10E9">
      <w:pPr>
        <w:widowControl/>
        <w:jc w:val="center"/>
        <w:rPr>
          <w:rFonts w:ascii="Microsoft Yahei" w:eastAsia="宋体" w:hAnsi="Microsoft Yahei" w:cs="宋体"/>
          <w:color w:val="898989"/>
          <w:kern w:val="0"/>
          <w:sz w:val="18"/>
          <w:szCs w:val="18"/>
        </w:rPr>
      </w:pPr>
      <w:r w:rsidRPr="00DE10E9">
        <w:rPr>
          <w:rFonts w:ascii="Microsoft Yahei" w:eastAsia="宋体" w:hAnsi="Microsoft Yahei" w:cs="宋体"/>
          <w:color w:val="898989"/>
          <w:kern w:val="0"/>
          <w:sz w:val="18"/>
          <w:szCs w:val="18"/>
        </w:rPr>
        <w:t>分享</w:t>
      </w:r>
    </w:p>
    <w:p w:rsidR="00DE10E9" w:rsidRPr="00DE10E9" w:rsidRDefault="00DE10E9" w:rsidP="00DE10E9">
      <w:pPr>
        <w:widowControl/>
        <w:jc w:val="center"/>
        <w:rPr>
          <w:rFonts w:ascii="Microsoft Yahei" w:eastAsia="宋体" w:hAnsi="Microsoft Yahei" w:cs="宋体"/>
          <w:color w:val="898989"/>
          <w:kern w:val="0"/>
          <w:sz w:val="18"/>
          <w:szCs w:val="18"/>
        </w:rPr>
      </w:pPr>
      <w:r w:rsidRPr="00DE10E9">
        <w:rPr>
          <w:rFonts w:ascii="Microsoft Yahei" w:eastAsia="宋体" w:hAnsi="Microsoft Yahei" w:cs="宋体"/>
          <w:color w:val="898989"/>
          <w:kern w:val="0"/>
          <w:sz w:val="18"/>
          <w:szCs w:val="18"/>
        </w:rPr>
        <w:t> </w:t>
      </w:r>
    </w:p>
    <w:p w:rsidR="00DE10E9" w:rsidRPr="00DE10E9" w:rsidRDefault="00DE10E9" w:rsidP="00DE10E9">
      <w:pPr>
        <w:widowControl/>
        <w:spacing w:before="225" w:line="525" w:lineRule="atLeast"/>
        <w:jc w:val="center"/>
        <w:rPr>
          <w:rFonts w:ascii="宋体" w:eastAsia="宋体" w:hAnsi="宋体" w:cs="宋体"/>
          <w:color w:val="333333"/>
          <w:kern w:val="0"/>
          <w:sz w:val="24"/>
          <w:szCs w:val="24"/>
        </w:rPr>
      </w:pPr>
      <w:r>
        <w:rPr>
          <w:rFonts w:ascii="宋体" w:eastAsia="宋体" w:hAnsi="宋体" w:cs="宋体"/>
          <w:noProof/>
          <w:color w:val="333333"/>
          <w:kern w:val="0"/>
          <w:sz w:val="24"/>
          <w:szCs w:val="24"/>
        </w:rPr>
        <w:drawing>
          <wp:inline distT="0" distB="0" distL="0" distR="0">
            <wp:extent cx="5791200" cy="1114425"/>
            <wp:effectExtent l="0" t="0" r="0" b="9525"/>
            <wp:docPr id="2" name="图片 2" descr="http://www.gov.cn/zhuanti/2015-06/13/2878967/images/56d272e104b74542a99b264d98e4e60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ov.cn/zhuanti/2015-06/13/2878967/images/56d272e104b74542a99b264d98e4e60b.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91200" cy="1114425"/>
                    </a:xfrm>
                    <a:prstGeom prst="rect">
                      <a:avLst/>
                    </a:prstGeom>
                    <a:noFill/>
                    <a:ln>
                      <a:noFill/>
                    </a:ln>
                  </pic:spPr>
                </pic:pic>
              </a:graphicData>
            </a:graphic>
          </wp:inline>
        </w:drawing>
      </w:r>
    </w:p>
    <w:p w:rsidR="00DE10E9" w:rsidRPr="00DE10E9" w:rsidRDefault="00DE10E9" w:rsidP="00DE10E9">
      <w:pPr>
        <w:widowControl/>
        <w:spacing w:before="225" w:line="525" w:lineRule="atLeast"/>
        <w:jc w:val="center"/>
        <w:rPr>
          <w:rFonts w:ascii="宋体" w:eastAsia="宋体" w:hAnsi="宋体" w:cs="宋体" w:hint="eastAsia"/>
          <w:color w:val="333333"/>
          <w:kern w:val="0"/>
          <w:sz w:val="24"/>
          <w:szCs w:val="24"/>
        </w:rPr>
      </w:pPr>
      <w:r w:rsidRPr="00DE10E9">
        <w:rPr>
          <w:rFonts w:ascii="宋体" w:eastAsia="宋体" w:hAnsi="宋体" w:cs="宋体" w:hint="eastAsia"/>
          <w:b/>
          <w:bCs/>
          <w:color w:val="333333"/>
          <w:kern w:val="0"/>
          <w:sz w:val="36"/>
          <w:szCs w:val="36"/>
        </w:rPr>
        <w:t>国务院关于完善企业职工</w:t>
      </w:r>
      <w:r w:rsidRPr="00DE10E9">
        <w:rPr>
          <w:rFonts w:ascii="宋体" w:eastAsia="宋体" w:hAnsi="宋体" w:cs="宋体" w:hint="eastAsia"/>
          <w:b/>
          <w:bCs/>
          <w:color w:val="333333"/>
          <w:kern w:val="0"/>
          <w:sz w:val="36"/>
          <w:szCs w:val="36"/>
        </w:rPr>
        <w:br/>
        <w:t>基本养老保险制度的决定</w:t>
      </w:r>
      <w:r w:rsidRPr="00DE10E9">
        <w:rPr>
          <w:rFonts w:ascii="宋体" w:eastAsia="宋体" w:hAnsi="宋体" w:cs="宋体" w:hint="eastAsia"/>
          <w:b/>
          <w:bCs/>
          <w:color w:val="333333"/>
          <w:kern w:val="0"/>
          <w:sz w:val="36"/>
          <w:szCs w:val="36"/>
        </w:rPr>
        <w:br/>
      </w:r>
      <w:r w:rsidRPr="00DE10E9">
        <w:rPr>
          <w:rFonts w:ascii="楷体" w:eastAsia="楷体" w:hAnsi="楷体" w:cs="宋体" w:hint="eastAsia"/>
          <w:color w:val="333333"/>
          <w:kern w:val="0"/>
          <w:sz w:val="24"/>
          <w:szCs w:val="24"/>
        </w:rPr>
        <w:t>国发〔2005〕38号</w:t>
      </w:r>
    </w:p>
    <w:p w:rsidR="00DE10E9" w:rsidRPr="00DE10E9" w:rsidRDefault="00DE10E9" w:rsidP="00DE10E9">
      <w:pPr>
        <w:widowControl/>
        <w:spacing w:before="225" w:line="525" w:lineRule="atLeast"/>
        <w:jc w:val="left"/>
        <w:rPr>
          <w:rFonts w:ascii="宋体" w:eastAsia="宋体" w:hAnsi="宋体" w:cs="宋体" w:hint="eastAsia"/>
          <w:color w:val="333333"/>
          <w:kern w:val="0"/>
          <w:sz w:val="24"/>
          <w:szCs w:val="24"/>
        </w:rPr>
      </w:pPr>
      <w:r w:rsidRPr="00DE10E9">
        <w:rPr>
          <w:rFonts w:ascii="宋体" w:eastAsia="宋体" w:hAnsi="宋体" w:cs="宋体" w:hint="eastAsia"/>
          <w:color w:val="333333"/>
          <w:kern w:val="0"/>
          <w:sz w:val="24"/>
          <w:szCs w:val="24"/>
        </w:rPr>
        <w:t>各省、自治区、直辖市人民政府，国务院各部委、各直属机构：</w:t>
      </w:r>
      <w:r w:rsidRPr="00DE10E9">
        <w:rPr>
          <w:rFonts w:ascii="宋体" w:eastAsia="宋体" w:hAnsi="宋体" w:cs="宋体" w:hint="eastAsia"/>
          <w:color w:val="333333"/>
          <w:kern w:val="0"/>
          <w:sz w:val="24"/>
          <w:szCs w:val="24"/>
        </w:rPr>
        <w:br/>
        <w:t>    近年来，各地区和有关部门按照党中央、国务院关于完善企业职工基本养老保险制度的部署和要求，以确保企业离退休人员基本养老金按时足额发放为中心，努力扩大基本养老保险覆盖范围，切实加强基本养老保险基金征缴，积极推进企业退休人员社会化管理服务，各项工作取得明显成效，为促进改革、发展和维护社会稳定发挥了重要作用。但是，随着人口老龄化、就业方式多样化和城市化的发展，现行企业职工基本养老保险制度还存在个人账户没有做实、计发办法不尽合理、覆盖范围不够广泛等</w:t>
      </w:r>
      <w:proofErr w:type="gramStart"/>
      <w:r w:rsidRPr="00DE10E9">
        <w:rPr>
          <w:rFonts w:ascii="宋体" w:eastAsia="宋体" w:hAnsi="宋体" w:cs="宋体" w:hint="eastAsia"/>
          <w:color w:val="333333"/>
          <w:kern w:val="0"/>
          <w:sz w:val="24"/>
          <w:szCs w:val="24"/>
        </w:rPr>
        <w:t>不</w:t>
      </w:r>
      <w:proofErr w:type="gramEnd"/>
      <w:r w:rsidRPr="00DE10E9">
        <w:rPr>
          <w:rFonts w:ascii="宋体" w:eastAsia="宋体" w:hAnsi="宋体" w:cs="宋体" w:hint="eastAsia"/>
          <w:color w:val="333333"/>
          <w:kern w:val="0"/>
          <w:sz w:val="24"/>
          <w:szCs w:val="24"/>
        </w:rPr>
        <w:t>适应的问题，需要加以改革和完善。为此，在充分调查研究和总结东北三省完善城镇社会保障体系试点经验的基础上，国务院对完善企业职工基本养老保险制度</w:t>
      </w:r>
      <w:proofErr w:type="gramStart"/>
      <w:r w:rsidRPr="00DE10E9">
        <w:rPr>
          <w:rFonts w:ascii="宋体" w:eastAsia="宋体" w:hAnsi="宋体" w:cs="宋体" w:hint="eastAsia"/>
          <w:color w:val="333333"/>
          <w:kern w:val="0"/>
          <w:sz w:val="24"/>
          <w:szCs w:val="24"/>
        </w:rPr>
        <w:t>作出</w:t>
      </w:r>
      <w:proofErr w:type="gramEnd"/>
      <w:r w:rsidRPr="00DE10E9">
        <w:rPr>
          <w:rFonts w:ascii="宋体" w:eastAsia="宋体" w:hAnsi="宋体" w:cs="宋体" w:hint="eastAsia"/>
          <w:color w:val="333333"/>
          <w:kern w:val="0"/>
          <w:sz w:val="24"/>
          <w:szCs w:val="24"/>
        </w:rPr>
        <w:t>如下决定：</w:t>
      </w:r>
      <w:r w:rsidRPr="00DE10E9">
        <w:rPr>
          <w:rFonts w:ascii="宋体" w:eastAsia="宋体" w:hAnsi="宋体" w:cs="宋体" w:hint="eastAsia"/>
          <w:color w:val="333333"/>
          <w:kern w:val="0"/>
          <w:sz w:val="24"/>
          <w:szCs w:val="24"/>
        </w:rPr>
        <w:br/>
      </w:r>
      <w:r w:rsidRPr="00DE10E9">
        <w:rPr>
          <w:rFonts w:ascii="宋体" w:eastAsia="宋体" w:hAnsi="宋体" w:cs="宋体" w:hint="eastAsia"/>
          <w:b/>
          <w:bCs/>
          <w:color w:val="333333"/>
          <w:kern w:val="0"/>
          <w:sz w:val="24"/>
          <w:szCs w:val="24"/>
        </w:rPr>
        <w:t>    一、完善企业职工基本养老保险制度的指导思想和主要任务。</w:t>
      </w:r>
      <w:r w:rsidRPr="00DE10E9">
        <w:rPr>
          <w:rFonts w:ascii="宋体" w:eastAsia="宋体" w:hAnsi="宋体" w:cs="宋体" w:hint="eastAsia"/>
          <w:color w:val="333333"/>
          <w:kern w:val="0"/>
          <w:sz w:val="24"/>
          <w:szCs w:val="24"/>
        </w:rPr>
        <w:t>以邓小平理论和“三个代表”重要思想为指导，认真贯彻党的十六大和十六届三中、四</w:t>
      </w:r>
      <w:r w:rsidRPr="00DE10E9">
        <w:rPr>
          <w:rFonts w:ascii="宋体" w:eastAsia="宋体" w:hAnsi="宋体" w:cs="宋体" w:hint="eastAsia"/>
          <w:color w:val="333333"/>
          <w:kern w:val="0"/>
          <w:sz w:val="24"/>
          <w:szCs w:val="24"/>
        </w:rPr>
        <w:lastRenderedPageBreak/>
        <w:t>中、五中全会精神，按照落实科学发展观和构建社会主义和谐社会的要求，统筹考虑当前和长远的关系，坚持覆盖广泛、水平适当、结构合理、基金平衡的原则，完善政策，健全机制，加强管理，建立起适合我国国情，实现可持续发展的基本养老保险制度。主要任务是：确保基本养老金按时足额发放，保障离退休人员基本生活；逐步做实个人账户，完善社会统筹与个人账户相结合的基本制度；统一城镇个体工商户和灵活就业人员参保缴费政策，扩大覆盖范围；改革基本养老金计发办法，建立参保缴费的激励约束机制；根据经济发展水平和各方面承受能力，合理确定基本养老金水平；建立多层次养老保险体系，划清中央与地方、政府与企业及个人的责任；加强基本养老保险基金征缴和监管，完善多渠道筹资机制；进一步做好退休人员社会化管理工作，提高服务水平。</w:t>
      </w:r>
      <w:r w:rsidRPr="00DE10E9">
        <w:rPr>
          <w:rFonts w:ascii="宋体" w:eastAsia="宋体" w:hAnsi="宋体" w:cs="宋体" w:hint="eastAsia"/>
          <w:color w:val="333333"/>
          <w:kern w:val="0"/>
          <w:sz w:val="24"/>
          <w:szCs w:val="24"/>
        </w:rPr>
        <w:br/>
      </w:r>
      <w:r w:rsidRPr="00DE10E9">
        <w:rPr>
          <w:rFonts w:ascii="宋体" w:eastAsia="宋体" w:hAnsi="宋体" w:cs="宋体" w:hint="eastAsia"/>
          <w:b/>
          <w:bCs/>
          <w:color w:val="333333"/>
          <w:kern w:val="0"/>
          <w:sz w:val="24"/>
          <w:szCs w:val="24"/>
        </w:rPr>
        <w:t>    二、确保基本养老金按时足额发放。</w:t>
      </w:r>
      <w:r w:rsidRPr="00DE10E9">
        <w:rPr>
          <w:rFonts w:ascii="宋体" w:eastAsia="宋体" w:hAnsi="宋体" w:cs="宋体" w:hint="eastAsia"/>
          <w:color w:val="333333"/>
          <w:kern w:val="0"/>
          <w:sz w:val="24"/>
          <w:szCs w:val="24"/>
        </w:rPr>
        <w:t>要继续把确保企业离退休人员基本养老金按时足额发放作为首要任务，进一步完善各项政策和工作机制，确保离退休人员基本养老金按时足额发放，不得发生新的基本养老金拖欠，切实保障离退休人员的合法权益。对过去拖欠的基本养老金，各地要根据《中共中央办公厅国务院办公厅关于进一步做好补发拖欠基本养老金和企业调整工资工作的通知》要求，认真加以解决。</w:t>
      </w:r>
      <w:r w:rsidRPr="00DE10E9">
        <w:rPr>
          <w:rFonts w:ascii="宋体" w:eastAsia="宋体" w:hAnsi="宋体" w:cs="宋体" w:hint="eastAsia"/>
          <w:color w:val="333333"/>
          <w:kern w:val="0"/>
          <w:sz w:val="24"/>
          <w:szCs w:val="24"/>
        </w:rPr>
        <w:br/>
      </w:r>
      <w:r w:rsidRPr="00DE10E9">
        <w:rPr>
          <w:rFonts w:ascii="宋体" w:eastAsia="宋体" w:hAnsi="宋体" w:cs="宋体" w:hint="eastAsia"/>
          <w:b/>
          <w:bCs/>
          <w:color w:val="333333"/>
          <w:kern w:val="0"/>
          <w:sz w:val="24"/>
          <w:szCs w:val="24"/>
        </w:rPr>
        <w:t>    三、扩大基本养老保险覆盖范围。</w:t>
      </w:r>
      <w:r w:rsidRPr="00DE10E9">
        <w:rPr>
          <w:rFonts w:ascii="宋体" w:eastAsia="宋体" w:hAnsi="宋体" w:cs="宋体" w:hint="eastAsia"/>
          <w:color w:val="333333"/>
          <w:kern w:val="0"/>
          <w:sz w:val="24"/>
          <w:szCs w:val="24"/>
        </w:rPr>
        <w:t>城镇各类企业职工、个体工商户和灵活就业人员都要参加企业职工基本养老保险。当前及今后一个时期，要以非公有制企业、城镇个体工商户和灵活就业人员参保工作为重点，扩大基本养老保险覆盖范围。要进一步落实国家有关社会保险补贴政策，帮助就业困难人员参保缴费。城镇个体工商户和灵活就业人员参加基本养老保险的缴费基数为当地上年度在岗职工平均工资，缴费比例为20%，其中8%记入个人账户，退休后按企业职工基本养老金计发办法计发基本养老金。</w:t>
      </w:r>
      <w:r w:rsidRPr="00DE10E9">
        <w:rPr>
          <w:rFonts w:ascii="宋体" w:eastAsia="宋体" w:hAnsi="宋体" w:cs="宋体" w:hint="eastAsia"/>
          <w:color w:val="333333"/>
          <w:kern w:val="0"/>
          <w:sz w:val="24"/>
          <w:szCs w:val="24"/>
        </w:rPr>
        <w:br/>
      </w:r>
      <w:r w:rsidRPr="00DE10E9">
        <w:rPr>
          <w:rFonts w:ascii="宋体" w:eastAsia="宋体" w:hAnsi="宋体" w:cs="宋体" w:hint="eastAsia"/>
          <w:b/>
          <w:bCs/>
          <w:color w:val="333333"/>
          <w:kern w:val="0"/>
          <w:sz w:val="24"/>
          <w:szCs w:val="24"/>
        </w:rPr>
        <w:t>    四、逐步做实个人账户。</w:t>
      </w:r>
      <w:r w:rsidRPr="00DE10E9">
        <w:rPr>
          <w:rFonts w:ascii="宋体" w:eastAsia="宋体" w:hAnsi="宋体" w:cs="宋体" w:hint="eastAsia"/>
          <w:color w:val="333333"/>
          <w:kern w:val="0"/>
          <w:sz w:val="24"/>
          <w:szCs w:val="24"/>
        </w:rPr>
        <w:t>做实个人账户，积累基本养老保险基金，是应对人口老龄化的重要举措，也是实现企业职工基本养老保险制度可持续发展的重要保证。要继续抓好东北三省做实个人账户试点工作，抓紧研究制订其他地区扩</w:t>
      </w:r>
      <w:r w:rsidRPr="00DE10E9">
        <w:rPr>
          <w:rFonts w:ascii="宋体" w:eastAsia="宋体" w:hAnsi="宋体" w:cs="宋体" w:hint="eastAsia"/>
          <w:color w:val="333333"/>
          <w:kern w:val="0"/>
          <w:sz w:val="24"/>
          <w:szCs w:val="24"/>
        </w:rPr>
        <w:lastRenderedPageBreak/>
        <w:t>大做实个人账户试点的具体方案，报国务院批准后实施。国家制订个人账户基金管理和投资运营办法，实现保值增值。</w:t>
      </w:r>
      <w:r w:rsidRPr="00DE10E9">
        <w:rPr>
          <w:rFonts w:ascii="宋体" w:eastAsia="宋体" w:hAnsi="宋体" w:cs="宋体" w:hint="eastAsia"/>
          <w:color w:val="333333"/>
          <w:kern w:val="0"/>
          <w:sz w:val="24"/>
          <w:szCs w:val="24"/>
        </w:rPr>
        <w:br/>
      </w:r>
      <w:r w:rsidRPr="00DE10E9">
        <w:rPr>
          <w:rFonts w:ascii="宋体" w:eastAsia="宋体" w:hAnsi="宋体" w:cs="宋体" w:hint="eastAsia"/>
          <w:b/>
          <w:bCs/>
          <w:color w:val="333333"/>
          <w:kern w:val="0"/>
          <w:sz w:val="24"/>
          <w:szCs w:val="24"/>
        </w:rPr>
        <w:t>    五、加强基本养老保险基金征缴与监管。</w:t>
      </w:r>
      <w:r w:rsidRPr="00DE10E9">
        <w:rPr>
          <w:rFonts w:ascii="宋体" w:eastAsia="宋体" w:hAnsi="宋体" w:cs="宋体" w:hint="eastAsia"/>
          <w:color w:val="333333"/>
          <w:kern w:val="0"/>
          <w:sz w:val="24"/>
          <w:szCs w:val="24"/>
        </w:rPr>
        <w:t>要全面落实《社会保险费征缴暂行条例》的各项规定，严格执行社会保险登记和缴费申报制度，强化社会保险稽核和劳动保障监察执法工作，努力提高征缴率。凡是参加企业职工基本养老保险的单位和个人，都必须按时足额缴纳基本养老保险费；对拒缴、瞒报少缴基本养老保险费的，要依法处理；对欠缴基本养老保险费的，要采取各种措施，加大追缴力度，确保基本养老保险基金应收尽收。各地要按照建立公共财政的要求，积极调整财政支出结构，加大对社会保障的资金投入。</w:t>
      </w:r>
      <w:r w:rsidRPr="00DE10E9">
        <w:rPr>
          <w:rFonts w:ascii="宋体" w:eastAsia="宋体" w:hAnsi="宋体" w:cs="宋体" w:hint="eastAsia"/>
          <w:color w:val="333333"/>
          <w:kern w:val="0"/>
          <w:sz w:val="24"/>
          <w:szCs w:val="24"/>
        </w:rPr>
        <w:br/>
        <w:t>    基本养老保险基金要纳入财政专户，实行收支两条线管理，严禁挤占挪用。要制定和完善社会保险基金监督管理的法律法规，实现依法监督。各省、自治区、直辖市人民政府要完善工作机制，保证基金监管制度的顺利实施。要继续发挥审计监督、社会监督和舆论监督的作用，共同维护基金安全。</w:t>
      </w:r>
      <w:r w:rsidRPr="00DE10E9">
        <w:rPr>
          <w:rFonts w:ascii="宋体" w:eastAsia="宋体" w:hAnsi="宋体" w:cs="宋体" w:hint="eastAsia"/>
          <w:color w:val="333333"/>
          <w:kern w:val="0"/>
          <w:sz w:val="24"/>
          <w:szCs w:val="24"/>
        </w:rPr>
        <w:br/>
      </w:r>
      <w:r w:rsidRPr="00DE10E9">
        <w:rPr>
          <w:rFonts w:ascii="宋体" w:eastAsia="宋体" w:hAnsi="宋体" w:cs="宋体" w:hint="eastAsia"/>
          <w:b/>
          <w:bCs/>
          <w:color w:val="333333"/>
          <w:kern w:val="0"/>
          <w:sz w:val="24"/>
          <w:szCs w:val="24"/>
        </w:rPr>
        <w:t>    六、改革基本养老金计发办法。</w:t>
      </w:r>
      <w:r w:rsidRPr="00DE10E9">
        <w:rPr>
          <w:rFonts w:ascii="宋体" w:eastAsia="宋体" w:hAnsi="宋体" w:cs="宋体" w:hint="eastAsia"/>
          <w:color w:val="333333"/>
          <w:kern w:val="0"/>
          <w:sz w:val="24"/>
          <w:szCs w:val="24"/>
        </w:rPr>
        <w:t>为与做实个人账户相衔接，从2006年1月1日起，个人账户的规模统一由本人缴费工资的11%调整为8%，全部由个人缴费形成，单位缴费不再划入个人账户。同时，进一步完善鼓励职工参保缴费的激励约束机制，相应调整基本养老金计发办法。</w:t>
      </w:r>
      <w:r w:rsidRPr="00DE10E9">
        <w:rPr>
          <w:rFonts w:ascii="宋体" w:eastAsia="宋体" w:hAnsi="宋体" w:cs="宋体" w:hint="eastAsia"/>
          <w:color w:val="333333"/>
          <w:kern w:val="0"/>
          <w:sz w:val="24"/>
          <w:szCs w:val="24"/>
        </w:rPr>
        <w:br/>
        <w:t>    《国务院关于建立统一的企业职工基本养老保险制度的决定》（国发〔1997〕26号）实施后参加工作、缴费年限（含视同缴费年限，下同）累计满15年的人员，退休后按月发给基本养老金。基本养老金由基础养老金和个人账户养老金组成。退休时的基础养老金月标准以当地上年度在岗职工月平均工资和本人指数化月平均缴费工资的平均值为基数，缴费每满1年发给1%。个人账户养老金月标准为个人账户储存额除以计发月数，计发月数根据职工退休时城镇人口平均预期寿命、本人退休年龄、利息等因素确定。（详见附件）</w:t>
      </w:r>
      <w:r w:rsidRPr="00DE10E9">
        <w:rPr>
          <w:rFonts w:ascii="宋体" w:eastAsia="宋体" w:hAnsi="宋体" w:cs="宋体" w:hint="eastAsia"/>
          <w:color w:val="333333"/>
          <w:kern w:val="0"/>
          <w:sz w:val="24"/>
          <w:szCs w:val="24"/>
        </w:rPr>
        <w:br/>
        <w:t>    国发〔1997〕26号文件实施前参加工作，本决定实施后退休且缴费年限累计满15年的人员，在发给基础养老金和个人账户养老金的基础上，再发给</w:t>
      </w:r>
      <w:r w:rsidRPr="00DE10E9">
        <w:rPr>
          <w:rFonts w:ascii="宋体" w:eastAsia="宋体" w:hAnsi="宋体" w:cs="宋体" w:hint="eastAsia"/>
          <w:color w:val="333333"/>
          <w:kern w:val="0"/>
          <w:sz w:val="24"/>
          <w:szCs w:val="24"/>
        </w:rPr>
        <w:lastRenderedPageBreak/>
        <w:t>过渡性养老金。各省、自治区、直辖市人民政府要按照待遇水平合理衔接、新老政策平稳过渡的原则，在认真测算的基础上，制订具体的过渡办法，并报劳动保障部、财政部备案。</w:t>
      </w:r>
      <w:r w:rsidRPr="00DE10E9">
        <w:rPr>
          <w:rFonts w:ascii="宋体" w:eastAsia="宋体" w:hAnsi="宋体" w:cs="宋体" w:hint="eastAsia"/>
          <w:color w:val="333333"/>
          <w:kern w:val="0"/>
          <w:sz w:val="24"/>
          <w:szCs w:val="24"/>
        </w:rPr>
        <w:br/>
        <w:t>    本决定实施后到达退休年龄但缴费年限累计不满15年的人员，不发给基础养老金；个人账户储存额一次性支付给本人，终止基本养老保险关系。</w:t>
      </w:r>
      <w:r w:rsidRPr="00DE10E9">
        <w:rPr>
          <w:rFonts w:ascii="宋体" w:eastAsia="宋体" w:hAnsi="宋体" w:cs="宋体" w:hint="eastAsia"/>
          <w:color w:val="333333"/>
          <w:kern w:val="0"/>
          <w:sz w:val="24"/>
          <w:szCs w:val="24"/>
        </w:rPr>
        <w:br/>
        <w:t>    本决定实施前已经离退休的人员，仍按国家原来的规定发给基本养老金，同时执行基本养老金调整办法。</w:t>
      </w:r>
      <w:r w:rsidRPr="00DE10E9">
        <w:rPr>
          <w:rFonts w:ascii="宋体" w:eastAsia="宋体" w:hAnsi="宋体" w:cs="宋体" w:hint="eastAsia"/>
          <w:color w:val="333333"/>
          <w:kern w:val="0"/>
          <w:sz w:val="24"/>
          <w:szCs w:val="24"/>
        </w:rPr>
        <w:br/>
      </w:r>
      <w:r w:rsidRPr="00DE10E9">
        <w:rPr>
          <w:rFonts w:ascii="宋体" w:eastAsia="宋体" w:hAnsi="宋体" w:cs="宋体" w:hint="eastAsia"/>
          <w:b/>
          <w:bCs/>
          <w:color w:val="333333"/>
          <w:kern w:val="0"/>
          <w:sz w:val="24"/>
          <w:szCs w:val="24"/>
        </w:rPr>
        <w:t>    七、建立基本养老金正常调整机制。</w:t>
      </w:r>
      <w:r w:rsidRPr="00DE10E9">
        <w:rPr>
          <w:rFonts w:ascii="宋体" w:eastAsia="宋体" w:hAnsi="宋体" w:cs="宋体" w:hint="eastAsia"/>
          <w:color w:val="333333"/>
          <w:kern w:val="0"/>
          <w:sz w:val="24"/>
          <w:szCs w:val="24"/>
        </w:rPr>
        <w:t>根据职工工资和物价变动等情况，国务院适时调整企业退休人员基本养老金水平，调整幅度为省、自治区、直辖市当地企业在岗职工平均工资年增长率的一定比例。各地根据本地实际情况提出具体调整方案，报劳动保障部、财政部审批后实施。</w:t>
      </w:r>
      <w:r w:rsidRPr="00DE10E9">
        <w:rPr>
          <w:rFonts w:ascii="宋体" w:eastAsia="宋体" w:hAnsi="宋体" w:cs="宋体" w:hint="eastAsia"/>
          <w:color w:val="333333"/>
          <w:kern w:val="0"/>
          <w:sz w:val="24"/>
          <w:szCs w:val="24"/>
        </w:rPr>
        <w:br/>
      </w:r>
      <w:r w:rsidRPr="00DE10E9">
        <w:rPr>
          <w:rFonts w:ascii="宋体" w:eastAsia="宋体" w:hAnsi="宋体" w:cs="宋体" w:hint="eastAsia"/>
          <w:b/>
          <w:bCs/>
          <w:color w:val="333333"/>
          <w:kern w:val="0"/>
          <w:sz w:val="24"/>
          <w:szCs w:val="24"/>
        </w:rPr>
        <w:t>    八、加快提高统筹层次。</w:t>
      </w:r>
      <w:r w:rsidRPr="00DE10E9">
        <w:rPr>
          <w:rFonts w:ascii="宋体" w:eastAsia="宋体" w:hAnsi="宋体" w:cs="宋体" w:hint="eastAsia"/>
          <w:color w:val="333333"/>
          <w:kern w:val="0"/>
          <w:sz w:val="24"/>
          <w:szCs w:val="24"/>
        </w:rPr>
        <w:t>进一步加强省级基金预算管理，明确省、市、县各级人民政府的责任，建立健全省级基金调剂制度，加大基金调剂力度。在完善市级统筹的基础上，尽快提高统筹层次，实现省级统筹，为构建全国统一的劳动力市场和促进人员合理流动创造条件。</w:t>
      </w:r>
      <w:r w:rsidRPr="00DE10E9">
        <w:rPr>
          <w:rFonts w:ascii="宋体" w:eastAsia="宋体" w:hAnsi="宋体" w:cs="宋体" w:hint="eastAsia"/>
          <w:color w:val="333333"/>
          <w:kern w:val="0"/>
          <w:sz w:val="24"/>
          <w:szCs w:val="24"/>
        </w:rPr>
        <w:br/>
      </w:r>
      <w:r w:rsidRPr="00DE10E9">
        <w:rPr>
          <w:rFonts w:ascii="宋体" w:eastAsia="宋体" w:hAnsi="宋体" w:cs="宋体" w:hint="eastAsia"/>
          <w:b/>
          <w:bCs/>
          <w:color w:val="333333"/>
          <w:kern w:val="0"/>
          <w:sz w:val="24"/>
          <w:szCs w:val="24"/>
        </w:rPr>
        <w:t>    九、发展企业年金。</w:t>
      </w:r>
      <w:r w:rsidRPr="00DE10E9">
        <w:rPr>
          <w:rFonts w:ascii="宋体" w:eastAsia="宋体" w:hAnsi="宋体" w:cs="宋体" w:hint="eastAsia"/>
          <w:color w:val="333333"/>
          <w:kern w:val="0"/>
          <w:sz w:val="24"/>
          <w:szCs w:val="24"/>
        </w:rPr>
        <w:t>为建立多层次的养老保险体系，增强企业的人才竞争能力，更好地保障企业职工退休后的生活，具备条件的企业可为职工建立企业年金。企业年金基金实行完全积累，采取市场化的方式进行管理和运营。要切实做好企业年金基金监管工作，实现规范运作，切实维护企业和职工的利益。</w:t>
      </w:r>
      <w:r w:rsidRPr="00DE10E9">
        <w:rPr>
          <w:rFonts w:ascii="宋体" w:eastAsia="宋体" w:hAnsi="宋体" w:cs="宋体" w:hint="eastAsia"/>
          <w:color w:val="333333"/>
          <w:kern w:val="0"/>
          <w:sz w:val="24"/>
          <w:szCs w:val="24"/>
        </w:rPr>
        <w:br/>
      </w:r>
      <w:r w:rsidRPr="00DE10E9">
        <w:rPr>
          <w:rFonts w:ascii="宋体" w:eastAsia="宋体" w:hAnsi="宋体" w:cs="宋体" w:hint="eastAsia"/>
          <w:b/>
          <w:bCs/>
          <w:color w:val="333333"/>
          <w:kern w:val="0"/>
          <w:sz w:val="24"/>
          <w:szCs w:val="24"/>
        </w:rPr>
        <w:t>    十、做好退休人员社会化管理服务工作。</w:t>
      </w:r>
      <w:r w:rsidRPr="00DE10E9">
        <w:rPr>
          <w:rFonts w:ascii="宋体" w:eastAsia="宋体" w:hAnsi="宋体" w:cs="宋体" w:hint="eastAsia"/>
          <w:color w:val="333333"/>
          <w:kern w:val="0"/>
          <w:sz w:val="24"/>
          <w:szCs w:val="24"/>
        </w:rPr>
        <w:t>要按照建立独立于企业事业单位之外社会保障体系的要求，继续做好企业退休人员社会化管理工作。要加强街道、社区劳动保障工作平台建设，加快公共老年服务设施和服务网络建设，条件具备的地方，可开展老年护理服务，兴建退休人员公寓，为退休人员提供更多更好的服务，不断提高退休人员的生活质量。</w:t>
      </w:r>
      <w:r w:rsidRPr="00DE10E9">
        <w:rPr>
          <w:rFonts w:ascii="宋体" w:eastAsia="宋体" w:hAnsi="宋体" w:cs="宋体" w:hint="eastAsia"/>
          <w:color w:val="333333"/>
          <w:kern w:val="0"/>
          <w:sz w:val="24"/>
          <w:szCs w:val="24"/>
        </w:rPr>
        <w:br/>
      </w:r>
      <w:r w:rsidRPr="00DE10E9">
        <w:rPr>
          <w:rFonts w:ascii="宋体" w:eastAsia="宋体" w:hAnsi="宋体" w:cs="宋体" w:hint="eastAsia"/>
          <w:b/>
          <w:bCs/>
          <w:color w:val="333333"/>
          <w:kern w:val="0"/>
          <w:sz w:val="24"/>
          <w:szCs w:val="24"/>
        </w:rPr>
        <w:t>    十一、不断提高社会保险管理服务水平。</w:t>
      </w:r>
      <w:r w:rsidRPr="00DE10E9">
        <w:rPr>
          <w:rFonts w:ascii="宋体" w:eastAsia="宋体" w:hAnsi="宋体" w:cs="宋体" w:hint="eastAsia"/>
          <w:color w:val="333333"/>
          <w:kern w:val="0"/>
          <w:sz w:val="24"/>
          <w:szCs w:val="24"/>
        </w:rPr>
        <w:t>要高度重视社会保险经办能力建设，加快社会保障信息服务网络建设步伐，建立高效运转的经办管理服务体系，</w:t>
      </w:r>
      <w:r w:rsidRPr="00DE10E9">
        <w:rPr>
          <w:rFonts w:ascii="宋体" w:eastAsia="宋体" w:hAnsi="宋体" w:cs="宋体" w:hint="eastAsia"/>
          <w:color w:val="333333"/>
          <w:kern w:val="0"/>
          <w:sz w:val="24"/>
          <w:szCs w:val="24"/>
        </w:rPr>
        <w:lastRenderedPageBreak/>
        <w:t>把社会保险的政策落到实处。各级社会保险经办机构要完善管理制度，制定技术标准，规范业务流程，实现规范化、信息化和专业化管理。同时，要加强人员培训，提高政治和业务素质，不断提高工作效率和服务质量。</w:t>
      </w:r>
      <w:r w:rsidRPr="00DE10E9">
        <w:rPr>
          <w:rFonts w:ascii="宋体" w:eastAsia="宋体" w:hAnsi="宋体" w:cs="宋体" w:hint="eastAsia"/>
          <w:color w:val="333333"/>
          <w:kern w:val="0"/>
          <w:sz w:val="24"/>
          <w:szCs w:val="24"/>
        </w:rPr>
        <w:br/>
        <w:t>    完善企业职工基本养老保险制度是构建社会主义和谐社会的重要内容，事关改革发展稳定的大局。各地区和有关部门要高度重视，加强领导，精心组织实施，研究制订具体的实施意见和办法，并报劳动保障部备案。劳动保障部要会同有关部门加强指导和监督检查，及时研究解决工作中遇到的问题，确保本决定的贯彻实施。</w:t>
      </w:r>
      <w:r w:rsidRPr="00DE10E9">
        <w:rPr>
          <w:rFonts w:ascii="宋体" w:eastAsia="宋体" w:hAnsi="宋体" w:cs="宋体" w:hint="eastAsia"/>
          <w:color w:val="333333"/>
          <w:kern w:val="0"/>
          <w:sz w:val="24"/>
          <w:szCs w:val="24"/>
        </w:rPr>
        <w:br/>
        <w:t>    本决定自发布之日起实施，已有规定与本决定不一致的，按本决定执行。</w:t>
      </w:r>
      <w:r w:rsidRPr="00DE10E9">
        <w:rPr>
          <w:rFonts w:ascii="宋体" w:eastAsia="宋体" w:hAnsi="宋体" w:cs="宋体" w:hint="eastAsia"/>
          <w:color w:val="333333"/>
          <w:kern w:val="0"/>
          <w:sz w:val="24"/>
          <w:szCs w:val="24"/>
        </w:rPr>
        <w:br/>
        <w:t>    附件：个人账户养老金计发月数表</w:t>
      </w:r>
    </w:p>
    <w:p w:rsidR="00DE10E9" w:rsidRPr="00DE10E9" w:rsidRDefault="00DE10E9" w:rsidP="00DE10E9">
      <w:pPr>
        <w:widowControl/>
        <w:spacing w:before="225" w:line="525" w:lineRule="atLeast"/>
        <w:jc w:val="center"/>
        <w:rPr>
          <w:rFonts w:ascii="宋体" w:eastAsia="宋体" w:hAnsi="宋体" w:cs="宋体" w:hint="eastAsia"/>
          <w:color w:val="333333"/>
          <w:kern w:val="0"/>
          <w:sz w:val="24"/>
          <w:szCs w:val="24"/>
        </w:rPr>
      </w:pPr>
      <w:r w:rsidRPr="00DE10E9">
        <w:rPr>
          <w:rFonts w:ascii="宋体" w:eastAsia="宋体" w:hAnsi="宋体" w:cs="宋体" w:hint="eastAsia"/>
          <w:color w:val="333333"/>
          <w:kern w:val="0"/>
          <w:sz w:val="24"/>
          <w:szCs w:val="24"/>
        </w:rPr>
        <w:t>                                                                             国 </w:t>
      </w:r>
      <w:proofErr w:type="gramStart"/>
      <w:r w:rsidRPr="00DE10E9">
        <w:rPr>
          <w:rFonts w:ascii="宋体" w:eastAsia="宋体" w:hAnsi="宋体" w:cs="宋体" w:hint="eastAsia"/>
          <w:color w:val="333333"/>
          <w:kern w:val="0"/>
          <w:sz w:val="24"/>
          <w:szCs w:val="24"/>
        </w:rPr>
        <w:t>务</w:t>
      </w:r>
      <w:proofErr w:type="gramEnd"/>
      <w:r w:rsidRPr="00DE10E9">
        <w:rPr>
          <w:rFonts w:ascii="宋体" w:eastAsia="宋体" w:hAnsi="宋体" w:cs="宋体" w:hint="eastAsia"/>
          <w:color w:val="333333"/>
          <w:kern w:val="0"/>
          <w:sz w:val="24"/>
          <w:szCs w:val="24"/>
        </w:rPr>
        <w:t> 院</w:t>
      </w:r>
      <w:r w:rsidRPr="00DE10E9">
        <w:rPr>
          <w:rFonts w:ascii="宋体" w:eastAsia="宋体" w:hAnsi="宋体" w:cs="宋体" w:hint="eastAsia"/>
          <w:color w:val="333333"/>
          <w:kern w:val="0"/>
          <w:sz w:val="24"/>
          <w:szCs w:val="24"/>
        </w:rPr>
        <w:br/>
        <w:t>                                                                             二〇〇五年十二月三日</w:t>
      </w:r>
    </w:p>
    <w:p w:rsidR="00DE10E9" w:rsidRPr="00DE10E9" w:rsidRDefault="00DE10E9" w:rsidP="00DE10E9">
      <w:pPr>
        <w:widowControl/>
        <w:spacing w:before="225" w:line="525" w:lineRule="atLeast"/>
        <w:jc w:val="left"/>
        <w:rPr>
          <w:rFonts w:ascii="宋体" w:eastAsia="宋体" w:hAnsi="宋体" w:cs="宋体" w:hint="eastAsia"/>
          <w:color w:val="333333"/>
          <w:kern w:val="0"/>
          <w:sz w:val="24"/>
          <w:szCs w:val="24"/>
        </w:rPr>
      </w:pPr>
      <w:r w:rsidRPr="00DE10E9">
        <w:rPr>
          <w:rFonts w:ascii="宋体" w:eastAsia="宋体" w:hAnsi="宋体" w:cs="宋体" w:hint="eastAsia"/>
          <w:b/>
          <w:bCs/>
          <w:color w:val="333333"/>
          <w:kern w:val="0"/>
          <w:sz w:val="24"/>
          <w:szCs w:val="24"/>
        </w:rPr>
        <w:t xml:space="preserve">　　附件：</w:t>
      </w:r>
    </w:p>
    <w:p w:rsidR="00DE10E9" w:rsidRPr="00DE10E9" w:rsidRDefault="00DE10E9" w:rsidP="00DE10E9">
      <w:pPr>
        <w:widowControl/>
        <w:spacing w:before="225" w:line="525" w:lineRule="atLeast"/>
        <w:jc w:val="center"/>
        <w:rPr>
          <w:rFonts w:ascii="宋体" w:eastAsia="宋体" w:hAnsi="宋体" w:cs="宋体" w:hint="eastAsia"/>
          <w:color w:val="333333"/>
          <w:kern w:val="0"/>
          <w:sz w:val="24"/>
          <w:szCs w:val="24"/>
        </w:rPr>
      </w:pPr>
      <w:r>
        <w:rPr>
          <w:rFonts w:ascii="宋体" w:eastAsia="宋体" w:hAnsi="宋体" w:cs="宋体"/>
          <w:noProof/>
          <w:color w:val="333333"/>
          <w:kern w:val="0"/>
          <w:sz w:val="24"/>
          <w:szCs w:val="24"/>
        </w:rPr>
        <w:lastRenderedPageBreak/>
        <w:drawing>
          <wp:inline distT="0" distB="0" distL="0" distR="0">
            <wp:extent cx="6276975" cy="7439025"/>
            <wp:effectExtent l="0" t="0" r="9525" b="9525"/>
            <wp:docPr id="1" name="图片 1" descr="http://www.gov.cn/zhuanti/2015-06/13/2878967/images/84f8b0ad2636426dbef727296525b60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gov.cn/zhuanti/2015-06/13/2878967/images/84f8b0ad2636426dbef727296525b60b.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276975" cy="7439025"/>
                    </a:xfrm>
                    <a:prstGeom prst="rect">
                      <a:avLst/>
                    </a:prstGeom>
                    <a:noFill/>
                    <a:ln>
                      <a:noFill/>
                    </a:ln>
                  </pic:spPr>
                </pic:pic>
              </a:graphicData>
            </a:graphic>
          </wp:inline>
        </w:drawing>
      </w:r>
    </w:p>
    <w:p w:rsidR="00FE7A56" w:rsidRDefault="00FE7A56">
      <w:bookmarkStart w:id="0" w:name="_GoBack"/>
      <w:bookmarkEnd w:id="0"/>
    </w:p>
    <w:sectPr w:rsidR="00FE7A5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icrosoft Yahei">
    <w:altName w:val="Times New Roman"/>
    <w:panose1 w:val="00000000000000000000"/>
    <w:charset w:val="00"/>
    <w:family w:val="roman"/>
    <w:notTrueType/>
    <w:pitch w:val="default"/>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3BAD"/>
    <w:rsid w:val="0015010D"/>
    <w:rsid w:val="00177239"/>
    <w:rsid w:val="001D1883"/>
    <w:rsid w:val="001D5600"/>
    <w:rsid w:val="001E059E"/>
    <w:rsid w:val="00226437"/>
    <w:rsid w:val="00282F69"/>
    <w:rsid w:val="002E6741"/>
    <w:rsid w:val="00312D29"/>
    <w:rsid w:val="003D6BF5"/>
    <w:rsid w:val="00412C9F"/>
    <w:rsid w:val="00413317"/>
    <w:rsid w:val="00443604"/>
    <w:rsid w:val="00467379"/>
    <w:rsid w:val="00477006"/>
    <w:rsid w:val="004B3013"/>
    <w:rsid w:val="004F4AC7"/>
    <w:rsid w:val="00536356"/>
    <w:rsid w:val="00555801"/>
    <w:rsid w:val="00564CDA"/>
    <w:rsid w:val="00595625"/>
    <w:rsid w:val="005C1BF6"/>
    <w:rsid w:val="005D17A7"/>
    <w:rsid w:val="005D1FB1"/>
    <w:rsid w:val="006608C5"/>
    <w:rsid w:val="0066798F"/>
    <w:rsid w:val="006E2215"/>
    <w:rsid w:val="006F0DA5"/>
    <w:rsid w:val="00764D3D"/>
    <w:rsid w:val="00771C49"/>
    <w:rsid w:val="00783BAD"/>
    <w:rsid w:val="00793019"/>
    <w:rsid w:val="007B4036"/>
    <w:rsid w:val="0083751F"/>
    <w:rsid w:val="008601DC"/>
    <w:rsid w:val="008D0FF8"/>
    <w:rsid w:val="00922017"/>
    <w:rsid w:val="0093612C"/>
    <w:rsid w:val="0095488C"/>
    <w:rsid w:val="009901C1"/>
    <w:rsid w:val="00A41637"/>
    <w:rsid w:val="00A6551A"/>
    <w:rsid w:val="00AB32B4"/>
    <w:rsid w:val="00B0697E"/>
    <w:rsid w:val="00B11177"/>
    <w:rsid w:val="00B13D17"/>
    <w:rsid w:val="00B1465E"/>
    <w:rsid w:val="00B151CB"/>
    <w:rsid w:val="00B627C0"/>
    <w:rsid w:val="00BE2696"/>
    <w:rsid w:val="00C10C36"/>
    <w:rsid w:val="00C64B5D"/>
    <w:rsid w:val="00CA2848"/>
    <w:rsid w:val="00CE345E"/>
    <w:rsid w:val="00CF10C8"/>
    <w:rsid w:val="00D245EA"/>
    <w:rsid w:val="00D2584D"/>
    <w:rsid w:val="00DA6BFE"/>
    <w:rsid w:val="00DB49F4"/>
    <w:rsid w:val="00DE10E9"/>
    <w:rsid w:val="00DF7C8A"/>
    <w:rsid w:val="00E26773"/>
    <w:rsid w:val="00E3570E"/>
    <w:rsid w:val="00F129CC"/>
    <w:rsid w:val="00F80A2E"/>
    <w:rsid w:val="00F92F16"/>
    <w:rsid w:val="00FB1F7C"/>
    <w:rsid w:val="00FE7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
    <w:name w:val="font"/>
    <w:basedOn w:val="a0"/>
    <w:rsid w:val="00DE10E9"/>
  </w:style>
  <w:style w:type="character" w:customStyle="1" w:styleId="apple-converted-space">
    <w:name w:val="apple-converted-space"/>
    <w:basedOn w:val="a0"/>
    <w:rsid w:val="00DE10E9"/>
  </w:style>
  <w:style w:type="character" w:customStyle="1" w:styleId="bigger">
    <w:name w:val="bigger"/>
    <w:basedOn w:val="a0"/>
    <w:rsid w:val="00DE10E9"/>
  </w:style>
  <w:style w:type="character" w:customStyle="1" w:styleId="medium">
    <w:name w:val="medium"/>
    <w:basedOn w:val="a0"/>
    <w:rsid w:val="00DE10E9"/>
  </w:style>
  <w:style w:type="character" w:customStyle="1" w:styleId="smaller">
    <w:name w:val="smaller"/>
    <w:basedOn w:val="a0"/>
    <w:rsid w:val="00DE10E9"/>
  </w:style>
  <w:style w:type="character" w:customStyle="1" w:styleId="gwdtitle">
    <w:name w:val="gwdtitle"/>
    <w:basedOn w:val="a0"/>
    <w:rsid w:val="00DE10E9"/>
  </w:style>
  <w:style w:type="paragraph" w:styleId="a3">
    <w:name w:val="Normal (Web)"/>
    <w:basedOn w:val="a"/>
    <w:uiPriority w:val="99"/>
    <w:semiHidden/>
    <w:unhideWhenUsed/>
    <w:rsid w:val="00DE10E9"/>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DE10E9"/>
    <w:rPr>
      <w:b/>
      <w:bCs/>
    </w:rPr>
  </w:style>
  <w:style w:type="paragraph" w:styleId="a5">
    <w:name w:val="Balloon Text"/>
    <w:basedOn w:val="a"/>
    <w:link w:val="Char"/>
    <w:uiPriority w:val="99"/>
    <w:semiHidden/>
    <w:unhideWhenUsed/>
    <w:rsid w:val="00DE10E9"/>
    <w:rPr>
      <w:sz w:val="18"/>
      <w:szCs w:val="18"/>
    </w:rPr>
  </w:style>
  <w:style w:type="character" w:customStyle="1" w:styleId="Char">
    <w:name w:val="批注框文本 Char"/>
    <w:basedOn w:val="a0"/>
    <w:link w:val="a5"/>
    <w:uiPriority w:val="99"/>
    <w:semiHidden/>
    <w:rsid w:val="00DE10E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
    <w:name w:val="font"/>
    <w:basedOn w:val="a0"/>
    <w:rsid w:val="00DE10E9"/>
  </w:style>
  <w:style w:type="character" w:customStyle="1" w:styleId="apple-converted-space">
    <w:name w:val="apple-converted-space"/>
    <w:basedOn w:val="a0"/>
    <w:rsid w:val="00DE10E9"/>
  </w:style>
  <w:style w:type="character" w:customStyle="1" w:styleId="bigger">
    <w:name w:val="bigger"/>
    <w:basedOn w:val="a0"/>
    <w:rsid w:val="00DE10E9"/>
  </w:style>
  <w:style w:type="character" w:customStyle="1" w:styleId="medium">
    <w:name w:val="medium"/>
    <w:basedOn w:val="a0"/>
    <w:rsid w:val="00DE10E9"/>
  </w:style>
  <w:style w:type="character" w:customStyle="1" w:styleId="smaller">
    <w:name w:val="smaller"/>
    <w:basedOn w:val="a0"/>
    <w:rsid w:val="00DE10E9"/>
  </w:style>
  <w:style w:type="character" w:customStyle="1" w:styleId="gwdtitle">
    <w:name w:val="gwdtitle"/>
    <w:basedOn w:val="a0"/>
    <w:rsid w:val="00DE10E9"/>
  </w:style>
  <w:style w:type="paragraph" w:styleId="a3">
    <w:name w:val="Normal (Web)"/>
    <w:basedOn w:val="a"/>
    <w:uiPriority w:val="99"/>
    <w:semiHidden/>
    <w:unhideWhenUsed/>
    <w:rsid w:val="00DE10E9"/>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DE10E9"/>
    <w:rPr>
      <w:b/>
      <w:bCs/>
    </w:rPr>
  </w:style>
  <w:style w:type="paragraph" w:styleId="a5">
    <w:name w:val="Balloon Text"/>
    <w:basedOn w:val="a"/>
    <w:link w:val="Char"/>
    <w:uiPriority w:val="99"/>
    <w:semiHidden/>
    <w:unhideWhenUsed/>
    <w:rsid w:val="00DE10E9"/>
    <w:rPr>
      <w:sz w:val="18"/>
      <w:szCs w:val="18"/>
    </w:rPr>
  </w:style>
  <w:style w:type="character" w:customStyle="1" w:styleId="Char">
    <w:name w:val="批注框文本 Char"/>
    <w:basedOn w:val="a0"/>
    <w:link w:val="a5"/>
    <w:uiPriority w:val="99"/>
    <w:semiHidden/>
    <w:rsid w:val="00DE10E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5383151">
      <w:bodyDiv w:val="1"/>
      <w:marLeft w:val="0"/>
      <w:marRight w:val="0"/>
      <w:marTop w:val="0"/>
      <w:marBottom w:val="0"/>
      <w:divBdr>
        <w:top w:val="none" w:sz="0" w:space="0" w:color="auto"/>
        <w:left w:val="none" w:sz="0" w:space="0" w:color="auto"/>
        <w:bottom w:val="none" w:sz="0" w:space="0" w:color="auto"/>
        <w:right w:val="none" w:sz="0" w:space="0" w:color="auto"/>
      </w:divBdr>
      <w:divsChild>
        <w:div w:id="2036540301">
          <w:marLeft w:val="0"/>
          <w:marRight w:val="0"/>
          <w:marTop w:val="0"/>
          <w:marBottom w:val="0"/>
          <w:divBdr>
            <w:top w:val="none" w:sz="0" w:space="0" w:color="auto"/>
            <w:left w:val="none" w:sz="0" w:space="0" w:color="auto"/>
            <w:bottom w:val="single" w:sz="6" w:space="0" w:color="DCDCDC"/>
            <w:right w:val="none" w:sz="0" w:space="0" w:color="auto"/>
          </w:divBdr>
          <w:divsChild>
            <w:div w:id="972708850">
              <w:marLeft w:val="0"/>
              <w:marRight w:val="0"/>
              <w:marTop w:val="0"/>
              <w:marBottom w:val="0"/>
              <w:divBdr>
                <w:top w:val="none" w:sz="0" w:space="0" w:color="auto"/>
                <w:left w:val="none" w:sz="0" w:space="0" w:color="auto"/>
                <w:bottom w:val="none" w:sz="0" w:space="0" w:color="auto"/>
                <w:right w:val="none" w:sz="0" w:space="0" w:color="auto"/>
              </w:divBdr>
              <w:divsChild>
                <w:div w:id="380902170">
                  <w:marLeft w:val="0"/>
                  <w:marRight w:val="0"/>
                  <w:marTop w:val="0"/>
                  <w:marBottom w:val="0"/>
                  <w:divBdr>
                    <w:top w:val="none" w:sz="0" w:space="0" w:color="auto"/>
                    <w:left w:val="none" w:sz="0" w:space="0" w:color="auto"/>
                    <w:bottom w:val="none" w:sz="0" w:space="0" w:color="auto"/>
                    <w:right w:val="none" w:sz="0" w:space="0" w:color="auto"/>
                  </w:divBdr>
                  <w:divsChild>
                    <w:div w:id="825128248">
                      <w:marLeft w:val="0"/>
                      <w:marRight w:val="0"/>
                      <w:marTop w:val="0"/>
                      <w:marBottom w:val="0"/>
                      <w:divBdr>
                        <w:top w:val="none" w:sz="0" w:space="0" w:color="auto"/>
                        <w:left w:val="none" w:sz="0" w:space="0" w:color="auto"/>
                        <w:bottom w:val="none" w:sz="0" w:space="0" w:color="auto"/>
                        <w:right w:val="none" w:sz="0" w:space="0" w:color="auto"/>
                      </w:divBdr>
                      <w:divsChild>
                        <w:div w:id="2058317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530</Words>
  <Characters>3021</Characters>
  <Application>Microsoft Office Word</Application>
  <DocSecurity>0</DocSecurity>
  <Lines>25</Lines>
  <Paragraphs>7</Paragraphs>
  <ScaleCrop>false</ScaleCrop>
  <Company>Microsoft</Company>
  <LinksUpToDate>false</LinksUpToDate>
  <CharactersWithSpaces>3544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cp:revision>
  <dcterms:created xsi:type="dcterms:W3CDTF">2017-11-29T08:34:00Z</dcterms:created>
  <dcterms:modified xsi:type="dcterms:W3CDTF">2017-11-29T08:35:00Z</dcterms:modified>
</cp:coreProperties>
</file>