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2"/>
        <w:ind w:left="0" w:firstLine="0"/>
        <w:rPr>
          <w:rFonts w:ascii="Times New Roman"/>
          <w:sz w:val="17"/>
        </w:rPr>
      </w:pPr>
    </w:p>
    <w:p>
      <w:pPr>
        <w:spacing w:before="64"/>
        <w:ind w:left="2956" w:right="0" w:firstLine="0"/>
        <w:jc w:val="left"/>
        <w:rPr>
          <w:b/>
          <w:sz w:val="32"/>
        </w:rPr>
      </w:pPr>
      <w:r>
        <w:rPr>
          <w:rFonts w:ascii="Times New Roman" w:eastAsia="Times New Roman"/>
          <w:b/>
          <w:sz w:val="32"/>
        </w:rPr>
        <w:t>DY </w:t>
      </w:r>
      <w:r>
        <w:rPr>
          <w:b/>
          <w:sz w:val="32"/>
        </w:rPr>
        <w:t>公司的 </w:t>
      </w:r>
      <w:r>
        <w:rPr>
          <w:rFonts w:ascii="Times New Roman" w:eastAsia="Times New Roman"/>
          <w:b/>
          <w:sz w:val="32"/>
        </w:rPr>
        <w:t>KPI </w:t>
      </w:r>
      <w:r>
        <w:rPr>
          <w:b/>
          <w:sz w:val="32"/>
        </w:rPr>
        <w:t>设计</w:t>
      </w:r>
    </w:p>
    <w:p>
      <w:pPr>
        <w:pStyle w:val="BodyText"/>
        <w:spacing w:line="417" w:lineRule="auto" w:before="240"/>
        <w:ind w:right="395"/>
        <w:jc w:val="both"/>
      </w:pPr>
      <w:r>
        <w:rPr>
          <w:rFonts w:ascii="Times New Roman" w:hAnsi="Times New Roman" w:eastAsia="Times New Roman"/>
        </w:rPr>
        <w:t>DY </w:t>
      </w:r>
      <w:r>
        <w:rPr>
          <w:spacing w:val="-4"/>
        </w:rPr>
        <w:t>公司是位于中国中部省份的一家民营期货公司，在当地属于</w:t>
      </w:r>
      <w:r>
        <w:rPr>
          <w:spacing w:val="-10"/>
        </w:rPr>
        <w:t>行业龙头，但在全国整个行业中只能算一个规模中等偏小的企业，行</w:t>
      </w:r>
      <w:r>
        <w:rPr>
          <w:spacing w:val="-20"/>
        </w:rPr>
        <w:t>业排名第 </w:t>
      </w:r>
      <w:r>
        <w:rPr>
          <w:rFonts w:ascii="Times New Roman" w:hAnsi="Times New Roman" w:eastAsia="Times New Roman"/>
        </w:rPr>
        <w:t>80 </w:t>
      </w:r>
      <w:r>
        <w:rPr/>
        <w:t>多位。基于对中国宏观经济和金融、期货行业发展趋势</w:t>
      </w:r>
      <w:r>
        <w:rPr>
          <w:spacing w:val="-12"/>
        </w:rPr>
        <w:t>的预期，以及对自身资本、人力资源等的判断，公司确立了两个战略</w:t>
      </w:r>
      <w:r>
        <w:rPr>
          <w:spacing w:val="-14"/>
        </w:rPr>
        <w:t>目标：第一是快速做大，从业务规模上进入全国行业前 </w:t>
      </w:r>
      <w:r>
        <w:rPr>
          <w:rFonts w:ascii="Times New Roman" w:hAnsi="Times New Roman" w:eastAsia="Times New Roman"/>
        </w:rPr>
        <w:t>30 </w:t>
      </w:r>
      <w:r>
        <w:rPr/>
        <w:t>位；第二</w:t>
      </w:r>
      <w:r>
        <w:rPr>
          <w:spacing w:val="-3"/>
        </w:rPr>
        <w:t>是在将来国家政策允许的时候，成为首批综合性的期货公司</w:t>
      </w:r>
      <w:r>
        <w:rPr>
          <w:rFonts w:ascii="宋体" w:hAnsi="宋体" w:eastAsia="宋体" w:hint="eastAsia"/>
          <w:position w:val="14"/>
          <w:sz w:val="14"/>
        </w:rPr>
        <w:t>①</w:t>
      </w:r>
      <w:r>
        <w:rPr/>
        <w:t>。</w:t>
      </w:r>
    </w:p>
    <w:p>
      <w:pPr>
        <w:spacing w:line="417" w:lineRule="auto" w:before="0"/>
        <w:ind w:left="240" w:right="395" w:firstLine="559"/>
        <w:jc w:val="both"/>
        <w:rPr>
          <w:b/>
          <w:sz w:val="28"/>
        </w:rPr>
      </w:pPr>
      <w:r>
        <w:rPr>
          <w:b/>
          <w:color w:val="C00000"/>
          <w:spacing w:val="-4"/>
          <w:sz w:val="28"/>
        </w:rPr>
        <w:t>根据公司的两个战略目标，</w:t>
      </w:r>
      <w:r>
        <w:rPr>
          <w:rFonts w:ascii="Times New Roman" w:eastAsia="Times New Roman"/>
          <w:b/>
          <w:color w:val="C00000"/>
          <w:spacing w:val="-38"/>
          <w:sz w:val="28"/>
        </w:rPr>
        <w:t>DY </w:t>
      </w:r>
      <w:r>
        <w:rPr>
          <w:b/>
          <w:color w:val="C00000"/>
          <w:spacing w:val="-7"/>
          <w:sz w:val="28"/>
        </w:rPr>
        <w:t>公司开始设计本公司的 </w:t>
      </w:r>
      <w:r>
        <w:rPr>
          <w:rFonts w:ascii="Times New Roman" w:eastAsia="Times New Roman"/>
          <w:b/>
          <w:color w:val="C00000"/>
          <w:sz w:val="28"/>
        </w:rPr>
        <w:t>KPI </w:t>
      </w:r>
      <w:r>
        <w:rPr>
          <w:b/>
          <w:color w:val="C00000"/>
          <w:sz w:val="28"/>
        </w:rPr>
        <w:t>指标体系。</w:t>
      </w:r>
    </w:p>
    <w:p>
      <w:pPr>
        <w:pStyle w:val="BodyText"/>
        <w:spacing w:line="417" w:lineRule="auto"/>
        <w:ind w:right="395"/>
        <w:jc w:val="both"/>
      </w:pPr>
      <w:r>
        <w:rPr>
          <w:spacing w:val="-2"/>
        </w:rPr>
        <w:t>为了实现</w:t>
      </w:r>
      <w:r>
        <w:rPr>
          <w:b/>
        </w:rPr>
        <w:t>第一个战略目标</w:t>
      </w:r>
      <w:r>
        <w:rPr>
          <w:spacing w:val="-12"/>
        </w:rPr>
        <w:t>，公司必须快速发展业务，扩张业务规</w:t>
      </w:r>
      <w:r>
        <w:rPr>
          <w:spacing w:val="-15"/>
        </w:rPr>
        <w:t>模，增加业务收入。从 </w:t>
      </w:r>
      <w:r>
        <w:rPr>
          <w:rFonts w:ascii="Times New Roman" w:eastAsia="Times New Roman"/>
        </w:rPr>
        <w:t>BSC </w:t>
      </w:r>
      <w:r>
        <w:rPr/>
        <w:t>的角度来看，它主要涉及公司财务方面</w:t>
      </w:r>
      <w:r>
        <w:rPr>
          <w:spacing w:val="-2"/>
        </w:rPr>
        <w:t>的目标。</w:t>
      </w:r>
    </w:p>
    <w:p>
      <w:pPr>
        <w:pStyle w:val="BodyText"/>
        <w:spacing w:line="417" w:lineRule="auto"/>
        <w:ind w:right="116"/>
      </w:pPr>
      <w:r>
        <w:rPr>
          <w:spacing w:val="-2"/>
        </w:rPr>
        <w:t>为了实现</w:t>
      </w:r>
      <w:r>
        <w:rPr>
          <w:b/>
        </w:rPr>
        <w:t>第二个战略目标</w:t>
      </w:r>
      <w:r>
        <w:rPr>
          <w:spacing w:val="-12"/>
        </w:rPr>
        <w:t>，除了要有一定的业务规模做基础之外， </w:t>
      </w:r>
      <w:r>
        <w:rPr>
          <w:spacing w:val="-5"/>
        </w:rPr>
        <w:t>更重要的是增强公司的综合竞争能力。</w:t>
      </w:r>
    </w:p>
    <w:p>
      <w:pPr>
        <w:pStyle w:val="BodyText"/>
        <w:spacing w:line="417" w:lineRule="auto"/>
        <w:ind w:right="396"/>
        <w:jc w:val="both"/>
      </w:pPr>
      <w:r>
        <w:rPr>
          <w:spacing w:val="-10"/>
        </w:rPr>
        <w:t>从期货行业监管的政策导向来看，综合性期货公司最重要的是风</w:t>
      </w:r>
      <w:r>
        <w:rPr>
          <w:spacing w:val="-11"/>
        </w:rPr>
        <w:t>险管理能力。不论是自营业务，还是经纪业务，期货公司最大的风险源自对市场行情的判断，而对市场行情的深入分析与准确预判又对公</w:t>
      </w:r>
      <w:r>
        <w:rPr>
          <w:spacing w:val="-13"/>
        </w:rPr>
        <w:t>司的市场研发能力提出了要求。综合竞争能力在 </w:t>
      </w:r>
      <w:r>
        <w:rPr>
          <w:rFonts w:ascii="Times New Roman" w:eastAsia="Times New Roman"/>
        </w:rPr>
        <w:t>BSC </w:t>
      </w:r>
      <w:r>
        <w:rPr/>
        <w:t>中并没有直接</w:t>
      </w:r>
      <w:r>
        <w:rPr>
          <w:spacing w:val="-13"/>
        </w:rPr>
        <w:t>反映，与它相接近的是内部业务流程或学习与成长方面。但对 </w:t>
      </w:r>
      <w:r>
        <w:rPr>
          <w:rFonts w:ascii="Times New Roman" w:eastAsia="Times New Roman"/>
        </w:rPr>
        <w:t>DY </w:t>
      </w:r>
      <w:r>
        <w:rPr/>
        <w:t>公</w:t>
      </w:r>
      <w:r>
        <w:rPr>
          <w:spacing w:val="-10"/>
        </w:rPr>
        <w:t>司来说，内部业务流程的重要性体现得并不充分。因而，设计人员将</w:t>
      </w:r>
      <w:r>
        <w:rPr>
          <w:spacing w:val="-20"/>
        </w:rPr>
        <w:t>经典 </w:t>
      </w:r>
      <w:r>
        <w:rPr>
          <w:rFonts w:ascii="Times New Roman" w:eastAsia="Times New Roman"/>
        </w:rPr>
        <w:t>BSC </w:t>
      </w:r>
      <w:r>
        <w:rPr/>
        <w:t>中的内部业务流程维度改为综合竟争能力。同时，对其他</w:t>
      </w:r>
      <w:r>
        <w:rPr>
          <w:spacing w:val="-10"/>
        </w:rPr>
        <w:t>三个维度以及企业战略之间的驱动关系也加以改进，形成了 </w:t>
      </w:r>
      <w:r>
        <w:rPr>
          <w:rFonts w:ascii="Times New Roman" w:eastAsia="Times New Roman"/>
        </w:rPr>
        <w:t>DY </w:t>
      </w:r>
      <w:r>
        <w:rPr/>
        <w:t>公司</w:t>
      </w:r>
    </w:p>
    <w:p>
      <w:pPr>
        <w:spacing w:after="0" w:line="417" w:lineRule="auto"/>
        <w:jc w:val="both"/>
        <w:sectPr>
          <w:type w:val="continuous"/>
          <w:pgSz w:w="11910" w:h="16840"/>
          <w:pgMar w:top="1580" w:bottom="280" w:left="1560" w:right="1400"/>
        </w:sectPr>
      </w:pPr>
    </w:p>
    <w:p>
      <w:pPr>
        <w:pStyle w:val="BodyText"/>
        <w:spacing w:before="35"/>
        <w:ind w:firstLine="0"/>
      </w:pPr>
      <w:r>
        <w:rPr/>
        <w:t>的平衡计分卡。</w:t>
      </w:r>
    </w:p>
    <w:p>
      <w:pPr>
        <w:pStyle w:val="BodyText"/>
        <w:spacing w:before="9"/>
        <w:ind w:left="0" w:firstLine="0"/>
        <w:rPr>
          <w:sz w:val="20"/>
        </w:rPr>
      </w:pPr>
    </w:p>
    <w:p>
      <w:pPr>
        <w:pStyle w:val="BodyText"/>
        <w:spacing w:line="417" w:lineRule="auto"/>
        <w:ind w:right="387"/>
        <w:jc w:val="both"/>
      </w:pPr>
      <w:r>
        <w:rPr>
          <w:rFonts w:ascii="Times New Roman" w:eastAsia="Times New Roman"/>
        </w:rPr>
        <w:t>DY </w:t>
      </w:r>
      <w:r>
        <w:rPr>
          <w:spacing w:val="-3"/>
        </w:rPr>
        <w:t>公司分析认为，要想实现成为综合性期货公司的战略目标， </w:t>
      </w:r>
      <w:r>
        <w:rPr>
          <w:spacing w:val="-8"/>
        </w:rPr>
        <w:t>必须在企业成长与综合竟争能力这两个方面达标。企业成长维度的指</w:t>
      </w:r>
      <w:r>
        <w:rPr>
          <w:spacing w:val="-3"/>
        </w:rPr>
        <w:t>标包括业务收入、业务增长率和投资回报率。</w:t>
      </w:r>
    </w:p>
    <w:p>
      <w:pPr>
        <w:pStyle w:val="BodyText"/>
        <w:spacing w:line="417" w:lineRule="auto"/>
        <w:ind w:right="318"/>
        <w:jc w:val="both"/>
      </w:pPr>
      <w:r>
        <w:rPr>
          <w:spacing w:val="-8"/>
        </w:rPr>
        <w:t>期货公司的业务收入目前主要来源于客户的佣全，要想实现业务</w:t>
      </w:r>
      <w:r>
        <w:rPr/>
        <w:t>收入的增长，必须使客户满意，愿意选择</w:t>
      </w:r>
      <w:r>
        <w:rPr>
          <w:rFonts w:ascii="Times New Roman" w:eastAsia="Times New Roman"/>
        </w:rPr>
        <w:t>DY </w:t>
      </w:r>
      <w:r>
        <w:rPr>
          <w:spacing w:val="-3"/>
        </w:rPr>
        <w:t>公司而不是其他公司。怎么样才能使客户满意呢</w:t>
      </w:r>
      <w:r>
        <w:rPr>
          <w:rFonts w:ascii="Times New Roman" w:eastAsia="Times New Roman"/>
          <w:spacing w:val="-3"/>
        </w:rPr>
        <w:t>?</w:t>
      </w:r>
      <w:r>
        <w:rPr>
          <w:spacing w:val="-3"/>
        </w:rPr>
        <w:t>最重要的是为客户提供专业、高效的投资</w:t>
      </w:r>
      <w:r>
        <w:rPr>
          <w:spacing w:val="-11"/>
        </w:rPr>
        <w:t>建议，增加客户盈利。同时，当前是一个供大于求的时代，期货业也不例外，再好的公司也必须主动去开发新客户，竭力维持老客户。客</w:t>
      </w:r>
      <w:r>
        <w:rPr>
          <w:spacing w:val="-10"/>
        </w:rPr>
        <w:t>户满意与开发维度的指标包括客户盈利率、客户满意度、新增客户数</w:t>
      </w:r>
      <w:r>
        <w:rPr>
          <w:spacing w:val="-4"/>
        </w:rPr>
        <w:t>和客户流失率。</w:t>
      </w:r>
    </w:p>
    <w:p>
      <w:pPr>
        <w:pStyle w:val="BodyText"/>
        <w:spacing w:line="417" w:lineRule="auto"/>
        <w:ind w:right="395"/>
        <w:jc w:val="both"/>
      </w:pPr>
      <w:r>
        <w:rPr>
          <w:spacing w:val="-8"/>
        </w:rPr>
        <w:t>客户盈利源于期货公司高质量的投资建议，这就需要公司拥有较</w:t>
      </w:r>
      <w:r>
        <w:rPr>
          <w:spacing w:val="-12"/>
        </w:rPr>
        <w:t>强的市场研发能力。同时，还要针对客户的差异化需求和市场环境的变化，及时开发新产品，提供新服务，这又需要具备一定的业务创新</w:t>
      </w:r>
      <w:r>
        <w:rPr>
          <w:spacing w:val="-11"/>
        </w:rPr>
        <w:t>能力。此外，为了实现尽早成为综合性期货公司的战略目标，还需要</w:t>
      </w:r>
      <w:r>
        <w:rPr>
          <w:spacing w:val="-12"/>
        </w:rPr>
        <w:t>具备较强的风险管理能力。因此，综合竟争能力维度的指标包括市场</w:t>
      </w:r>
      <w:r>
        <w:rPr>
          <w:spacing w:val="-5"/>
        </w:rPr>
        <w:t>研发能力、业务创新能力和风险管理能力。</w:t>
      </w:r>
    </w:p>
    <w:p>
      <w:pPr>
        <w:pStyle w:val="BodyText"/>
        <w:spacing w:line="417" w:lineRule="auto"/>
        <w:ind w:right="397"/>
        <w:jc w:val="both"/>
      </w:pPr>
      <w:r>
        <w:rPr>
          <w:spacing w:val="-4"/>
        </w:rPr>
        <w:t>作为一个以智力服务为特点的企业，</w:t>
      </w:r>
      <w:r>
        <w:rPr>
          <w:rFonts w:ascii="Times New Roman" w:eastAsia="Times New Roman"/>
          <w:spacing w:val="-4"/>
        </w:rPr>
        <w:t>DY </w:t>
      </w:r>
      <w:r>
        <w:rPr>
          <w:spacing w:val="-3"/>
        </w:rPr>
        <w:t>公司的综合竞争能力主</w:t>
      </w:r>
      <w:r>
        <w:rPr>
          <w:spacing w:val="-10"/>
        </w:rPr>
        <w:t>要通过高素质的员工队伍来获得，因而员工学习与成长就成为综合竟</w:t>
      </w:r>
      <w:r>
        <w:rPr>
          <w:spacing w:val="-11"/>
        </w:rPr>
        <w:t>争能力的驱动因素，它也是整个战略因果链的基础。员工学习与成长</w:t>
      </w:r>
      <w:r>
        <w:rPr>
          <w:spacing w:val="-5"/>
        </w:rPr>
        <w:t>维度的指标包括学习计划及完成率、员工满意度。</w:t>
      </w:r>
    </w:p>
    <w:p>
      <w:pPr>
        <w:spacing w:after="0" w:line="417" w:lineRule="auto"/>
        <w:jc w:val="both"/>
        <w:sectPr>
          <w:pgSz w:w="11910" w:h="16840"/>
          <w:pgMar w:top="1520" w:bottom="280" w:left="1560" w:right="1400"/>
        </w:sectPr>
      </w:pPr>
    </w:p>
    <w:p>
      <w:pPr>
        <w:pStyle w:val="BodyText"/>
        <w:spacing w:before="55"/>
        <w:ind w:left="799" w:firstLine="0"/>
      </w:pPr>
      <w:r>
        <w:rPr/>
        <w:t>表 </w:t>
      </w:r>
      <w:r>
        <w:rPr>
          <w:rFonts w:ascii="Times New Roman" w:eastAsia="Times New Roman"/>
        </w:rPr>
        <w:t>1 </w:t>
      </w:r>
      <w:r>
        <w:rPr/>
        <w:t>是经过改进的</w:t>
      </w:r>
      <w:r>
        <w:rPr>
          <w:rFonts w:ascii="Times New Roman" w:eastAsia="Times New Roman"/>
        </w:rPr>
        <w:t>DY </w:t>
      </w:r>
      <w:r>
        <w:rPr/>
        <w:t>公司平衡计分卡维度及其</w:t>
      </w:r>
      <w:r>
        <w:rPr>
          <w:rFonts w:ascii="黑体" w:eastAsia="黑体" w:hint="eastAsia"/>
          <w:b/>
          <w:color w:val="C00000"/>
        </w:rPr>
        <w:t>关键绩效指标</w:t>
      </w:r>
      <w:r>
        <w:rPr/>
        <w:t>。</w:t>
      </w:r>
    </w:p>
    <w:p>
      <w:pPr>
        <w:tabs>
          <w:tab w:pos="2870" w:val="left" w:leader="none"/>
        </w:tabs>
        <w:spacing w:before="230"/>
        <w:ind w:left="2292" w:right="0" w:firstLine="0"/>
        <w:jc w:val="left"/>
        <w:rPr>
          <w:rFonts w:ascii="宋体" w:eastAsia="宋体" w:hint="eastAsia"/>
          <w:b/>
          <w:sz w:val="21"/>
        </w:rPr>
      </w:pPr>
      <w:r>
        <w:rPr>
          <w:rFonts w:ascii="宋体" w:eastAsia="宋体" w:hint="eastAsia"/>
          <w:b/>
          <w:sz w:val="21"/>
        </w:rPr>
        <w:t>表</w:t>
      </w:r>
      <w:r>
        <w:rPr>
          <w:rFonts w:ascii="宋体" w:eastAsia="宋体" w:hint="eastAsia"/>
          <w:b/>
          <w:spacing w:val="-52"/>
          <w:sz w:val="21"/>
        </w:rPr>
        <w:t> </w:t>
      </w:r>
      <w:r>
        <w:rPr>
          <w:rFonts w:ascii="宋体" w:eastAsia="宋体" w:hint="eastAsia"/>
          <w:b/>
          <w:sz w:val="21"/>
        </w:rPr>
        <w:t>1</w:t>
        <w:tab/>
        <w:t>DY</w:t>
      </w:r>
      <w:r>
        <w:rPr>
          <w:rFonts w:ascii="宋体" w:eastAsia="宋体" w:hint="eastAsia"/>
          <w:b/>
          <w:spacing w:val="-53"/>
          <w:sz w:val="21"/>
        </w:rPr>
        <w:t> </w:t>
      </w:r>
      <w:r>
        <w:rPr>
          <w:rFonts w:ascii="宋体" w:eastAsia="宋体" w:hint="eastAsia"/>
          <w:b/>
          <w:sz w:val="21"/>
        </w:rPr>
        <w:t>公司的平衡计分卡维度及其关键绩效指标</w:t>
      </w:r>
    </w:p>
    <w:p>
      <w:pPr>
        <w:pStyle w:val="BodyText"/>
        <w:spacing w:before="11"/>
        <w:ind w:left="0" w:firstLine="0"/>
        <w:rPr>
          <w:rFonts w:ascii="宋体"/>
          <w:b/>
          <w:sz w:val="7"/>
        </w:rPr>
      </w:pPr>
    </w:p>
    <w:tbl>
      <w:tblPr>
        <w:tblW w:w="0" w:type="auto"/>
        <w:jc w:val="left"/>
        <w:tblInd w:w="1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11"/>
        <w:gridCol w:w="6311"/>
      </w:tblGrid>
      <w:tr>
        <w:trPr>
          <w:trHeight w:val="468" w:hRule="atLeast"/>
        </w:trPr>
        <w:tc>
          <w:tcPr>
            <w:tcW w:w="2211" w:type="dxa"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0"/>
              <w:ind w:left="936"/>
              <w:rPr>
                <w:b/>
                <w:sz w:val="21"/>
              </w:rPr>
            </w:pPr>
            <w:r>
              <w:rPr>
                <w:b/>
                <w:sz w:val="21"/>
              </w:rPr>
              <w:t>BSC 维度</w:t>
            </w:r>
          </w:p>
        </w:tc>
        <w:tc>
          <w:tcPr>
            <w:tcW w:w="6311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100"/>
              <w:ind w:left="2723" w:right="227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关键绩效指标</w:t>
            </w:r>
          </w:p>
        </w:tc>
      </w:tr>
      <w:tr>
        <w:trPr>
          <w:trHeight w:val="467" w:hRule="atLeast"/>
        </w:trPr>
        <w:tc>
          <w:tcPr>
            <w:tcW w:w="22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9"/>
              <w:ind w:left="122"/>
              <w:rPr>
                <w:sz w:val="21"/>
              </w:rPr>
            </w:pPr>
            <w:r>
              <w:rPr>
                <w:sz w:val="21"/>
              </w:rPr>
              <w:t>客户满意与开发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99"/>
              <w:rPr>
                <w:sz w:val="21"/>
              </w:rPr>
            </w:pPr>
            <w:r>
              <w:rPr>
                <w:sz w:val="21"/>
              </w:rPr>
              <w:t>客户盈利率、客户满意度，新增客户数和客户流失</w:t>
            </w:r>
          </w:p>
        </w:tc>
      </w:tr>
      <w:tr>
        <w:trPr>
          <w:trHeight w:val="467" w:hRule="atLeast"/>
        </w:trPr>
        <w:tc>
          <w:tcPr>
            <w:tcW w:w="22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22"/>
              <w:rPr>
                <w:sz w:val="21"/>
              </w:rPr>
            </w:pPr>
            <w:r>
              <w:rPr>
                <w:sz w:val="21"/>
              </w:rPr>
              <w:t>综合竟争能力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市场研发能力、业务创新能力和风险管理能力</w:t>
            </w:r>
          </w:p>
        </w:tc>
      </w:tr>
      <w:tr>
        <w:trPr>
          <w:trHeight w:val="467" w:hRule="atLeast"/>
        </w:trPr>
        <w:tc>
          <w:tcPr>
            <w:tcW w:w="22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22"/>
              <w:rPr>
                <w:sz w:val="21"/>
              </w:rPr>
            </w:pPr>
            <w:r>
              <w:rPr>
                <w:sz w:val="21"/>
              </w:rPr>
              <w:t>员工学习与成长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学习计划及完成率、员工满意度</w:t>
            </w:r>
          </w:p>
        </w:tc>
      </w:tr>
      <w:tr>
        <w:trPr>
          <w:trHeight w:val="467" w:hRule="atLeast"/>
        </w:trPr>
        <w:tc>
          <w:tcPr>
            <w:tcW w:w="2211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>
            <w:pPr>
              <w:pStyle w:val="TableParagraph"/>
              <w:ind w:left="122"/>
              <w:rPr>
                <w:sz w:val="21"/>
              </w:rPr>
            </w:pPr>
            <w:r>
              <w:rPr>
                <w:sz w:val="21"/>
              </w:rPr>
              <w:t>企业成长</w:t>
            </w:r>
          </w:p>
        </w:tc>
        <w:tc>
          <w:tcPr>
            <w:tcW w:w="6311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业务收入业务增长率和投资回报率</w:t>
            </w:r>
          </w:p>
        </w:tc>
      </w:tr>
    </w:tbl>
    <w:p>
      <w:pPr>
        <w:pStyle w:val="BodyText"/>
        <w:spacing w:before="133"/>
        <w:ind w:left="799" w:firstLine="0"/>
      </w:pPr>
      <w:r>
        <w:rPr/>
        <w:t>那么，</w:t>
      </w:r>
      <w:r>
        <w:rPr>
          <w:rFonts w:ascii="Times New Roman" w:eastAsia="Times New Roman"/>
        </w:rPr>
        <w:t>D </w:t>
      </w:r>
      <w:r>
        <w:rPr/>
        <w:t>公司设计的这种</w:t>
      </w:r>
      <w:r>
        <w:rPr>
          <w:rFonts w:ascii="Times New Roman" w:eastAsia="Times New Roman"/>
        </w:rPr>
        <w:t>KPI </w:t>
      </w:r>
      <w:r>
        <w:rPr/>
        <w:t>指标体系合理，可行吗？</w:t>
      </w:r>
    </w:p>
    <w:sectPr>
      <w:pgSz w:w="11910" w:h="16840"/>
      <w:pgMar w:top="1500" w:bottom="280" w:left="1560" w:right="1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">
    <w:altName w:val="仿宋"/>
    <w:charset w:val="86"/>
    <w:family w:val="modern"/>
    <w:pitch w:val="fixed"/>
  </w:font>
  <w:font w:name="宋体">
    <w:altName w:val="宋体"/>
    <w:charset w:val="86"/>
    <w:family w:val="auto"/>
    <w:pitch w:val="variable"/>
  </w:font>
  <w:font w:name="黑体">
    <w:altName w:val="黑体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</w:rPr>
  </w:style>
  <w:style w:styleId="BodyText" w:type="paragraph">
    <w:name w:val="Body Text"/>
    <w:basedOn w:val="Normal"/>
    <w:uiPriority w:val="1"/>
    <w:qFormat/>
    <w:pPr>
      <w:ind w:left="240" w:firstLine="559"/>
    </w:pPr>
    <w:rPr>
      <w:rFonts w:ascii="仿宋" w:hAnsi="仿宋" w:eastAsia="仿宋" w:cs="仿宋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98"/>
      <w:ind w:left="116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易祖胜15033579803</dc:creator>
  <dcterms:created xsi:type="dcterms:W3CDTF">2021-09-23T07:33:19Z</dcterms:created>
  <dcterms:modified xsi:type="dcterms:W3CDTF">2021-09-23T07:33:19Z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2021-09-23T00:00:00Z</vt:filetime>
  </property>
</Properties>
</file>