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A2" w:rsidRDefault="00CE1FA2" w:rsidP="00CE1FA2">
      <w:pPr>
        <w:spacing w:line="36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附录</w:t>
      </w:r>
      <w:r>
        <w:rPr>
          <w:rFonts w:ascii="微软雅黑" w:eastAsia="微软雅黑" w:hAnsi="微软雅黑"/>
        </w:rPr>
        <w:t>：</w:t>
      </w:r>
    </w:p>
    <w:p w:rsidR="00CE1FA2" w:rsidRPr="00CE1FA2" w:rsidRDefault="00CE1FA2" w:rsidP="00CE1FA2">
      <w:pPr>
        <w:spacing w:line="360" w:lineRule="exact"/>
        <w:jc w:val="center"/>
        <w:rPr>
          <w:rFonts w:ascii="微软雅黑" w:eastAsia="微软雅黑" w:hAnsi="微软雅黑" w:hint="eastAsia"/>
          <w:sz w:val="28"/>
        </w:rPr>
      </w:pPr>
      <w:r w:rsidRPr="00CE1FA2">
        <w:rPr>
          <w:rFonts w:ascii="微软雅黑" w:eastAsia="微软雅黑" w:hAnsi="微软雅黑" w:hint="eastAsia"/>
          <w:sz w:val="28"/>
        </w:rPr>
        <w:t>现金流量表</w:t>
      </w:r>
    </w:p>
    <w:p w:rsidR="00CE1FA2" w:rsidRPr="00CE1FA2" w:rsidRDefault="00CE1FA2" w:rsidP="00CE1FA2">
      <w:pPr>
        <w:spacing w:line="360" w:lineRule="exact"/>
        <w:jc w:val="center"/>
        <w:rPr>
          <w:rFonts w:ascii="微软雅黑" w:eastAsia="微软雅黑" w:hAnsi="微软雅黑"/>
          <w:sz w:val="28"/>
        </w:rPr>
      </w:pPr>
      <w:r w:rsidRPr="00CE1FA2">
        <w:rPr>
          <w:rFonts w:ascii="微软雅黑" w:eastAsia="微软雅黑" w:hAnsi="微软雅黑"/>
          <w:sz w:val="28"/>
        </w:rPr>
        <w:t>Cash Flow Statement</w:t>
      </w:r>
    </w:p>
    <w:p w:rsidR="00CE1FA2" w:rsidRPr="00E26CA6" w:rsidRDefault="00CE1FA2" w:rsidP="00CE1FA2">
      <w:pPr>
        <w:spacing w:line="360" w:lineRule="exact"/>
        <w:jc w:val="right"/>
        <w:rPr>
          <w:rFonts w:ascii="微软雅黑" w:eastAsia="微软雅黑" w:hAnsi="微软雅黑"/>
        </w:rPr>
      </w:pPr>
      <w:bookmarkStart w:id="0" w:name="_GoBack"/>
      <w:bookmarkEnd w:id="0"/>
    </w:p>
    <w:p w:rsidR="00CE1FA2" w:rsidRPr="00E26CA6" w:rsidRDefault="00CE1FA2" w:rsidP="00CE1FA2">
      <w:pPr>
        <w:spacing w:line="360" w:lineRule="exact"/>
        <w:jc w:val="right"/>
        <w:rPr>
          <w:rFonts w:ascii="微软雅黑" w:eastAsia="微软雅黑" w:hAnsi="微软雅黑" w:hint="eastAsia"/>
        </w:rPr>
      </w:pPr>
      <w:r w:rsidRPr="00E26CA6">
        <w:rPr>
          <w:rFonts w:ascii="微软雅黑" w:eastAsia="微软雅黑" w:hAnsi="微软雅黑" w:hint="eastAsia"/>
        </w:rPr>
        <w:t>(单位：万元)</w:t>
      </w:r>
    </w:p>
    <w:p w:rsidR="00CE1FA2" w:rsidRDefault="00CE1FA2" w:rsidP="00CE1FA2">
      <w:pPr>
        <w:spacing w:line="360" w:lineRule="exact"/>
        <w:jc w:val="right"/>
        <w:rPr>
          <w:rFonts w:ascii="微软雅黑" w:eastAsia="微软雅黑" w:hAnsi="微软雅黑"/>
        </w:rPr>
      </w:pPr>
      <w:r w:rsidRPr="00E26CA6">
        <w:rPr>
          <w:rFonts w:ascii="微软雅黑" w:eastAsia="微软雅黑" w:hAnsi="微软雅黑"/>
        </w:rPr>
        <w:t xml:space="preserve"> (In ten thousand Dollars)</w:t>
      </w:r>
    </w:p>
    <w:p w:rsidR="00CE1FA2" w:rsidRPr="00CE1FA2" w:rsidRDefault="00CE1FA2" w:rsidP="00CE1FA2">
      <w:pPr>
        <w:spacing w:line="360" w:lineRule="exact"/>
        <w:jc w:val="right"/>
        <w:rPr>
          <w:rFonts w:ascii="微软雅黑" w:eastAsia="微软雅黑" w:hAnsi="微软雅黑" w:hint="eastAsia"/>
        </w:rPr>
      </w:pPr>
    </w:p>
    <w:tbl>
      <w:tblPr>
        <w:tblStyle w:val="a3"/>
        <w:tblW w:w="10206" w:type="dxa"/>
        <w:tblInd w:w="-1139" w:type="dxa"/>
        <w:tblLook w:val="04A0" w:firstRow="1" w:lastRow="0" w:firstColumn="1" w:lastColumn="0" w:noHBand="0" w:noVBand="1"/>
      </w:tblPr>
      <w:tblGrid>
        <w:gridCol w:w="9356"/>
        <w:gridCol w:w="850"/>
      </w:tblGrid>
      <w:tr w:rsidR="00CE1FA2" w:rsidRPr="00CE1FA2" w:rsidTr="00CE1FA2">
        <w:trPr>
          <w:trHeight w:val="346"/>
        </w:trPr>
        <w:tc>
          <w:tcPr>
            <w:tcW w:w="10206" w:type="dxa"/>
            <w:gridSpan w:val="2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一、经营活动产生的现金流量</w:t>
            </w:r>
            <w:r w:rsidRPr="00CE1FA2">
              <w:rPr>
                <w:rFonts w:ascii="微软雅黑" w:eastAsia="微软雅黑" w:hAnsi="微软雅黑"/>
              </w:rPr>
              <w:t xml:space="preserve"> Cash flow from operating activities</w:t>
            </w:r>
          </w:p>
        </w:tc>
      </w:tr>
      <w:tr w:rsidR="00CE1FA2" w:rsidRPr="00CE1FA2" w:rsidTr="00CE1FA2">
        <w:trPr>
          <w:trHeight w:val="393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 w:hint="eastAsia"/>
              </w:rPr>
              <w:t>销售商品、提供劳务收到的现金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3000</w:t>
            </w:r>
          </w:p>
        </w:tc>
      </w:tr>
      <w:tr w:rsidR="00CE1FA2" w:rsidRPr="00CE1FA2" w:rsidTr="00CE1FA2">
        <w:trPr>
          <w:trHeight w:val="272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Cash received from sales of goods and rendering of services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192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收到的税费返还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 w:hint="eastAsia"/>
              </w:rPr>
              <w:t xml:space="preserve">　</w:t>
            </w:r>
          </w:p>
        </w:tc>
      </w:tr>
      <w:tr w:rsidR="00CE1FA2" w:rsidRPr="00CE1FA2" w:rsidTr="00CE1FA2">
        <w:trPr>
          <w:trHeight w:val="228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Refund of taxes paid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288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收到的其他与经营活动有关的现金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222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Other cash received from activities relating to operation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现金流入小计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3000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Sub-total of cash inflows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购买商品、接受劳务支付的现金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1750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Cash paid for goods and services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支付给职工以及为职工支付的现金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1200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Cash paid to and on behalf of employees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支付的各项税费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100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Taxes paid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支付的其他与经营活动有关的现金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450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Other cash paid relating to operating activities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11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现金流出小计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3500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Sub-total of cash outflow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经营活动产生的现金流量净额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-500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Net cash flow from operating activities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二、投资活动产生的现金流量</w:t>
            </w:r>
            <w:r w:rsidRPr="00CE1FA2">
              <w:rPr>
                <w:rFonts w:ascii="微软雅黑" w:eastAsia="微软雅黑" w:hAnsi="微软雅黑"/>
              </w:rPr>
              <w:t xml:space="preserve"> Cash flow from investment activities</w:t>
            </w:r>
          </w:p>
        </w:tc>
        <w:tc>
          <w:tcPr>
            <w:tcW w:w="850" w:type="dxa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收回投资所受到的现金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Cash received from withdraw of investment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取得投资收益所收到的现金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Cash received from gain of investment revenue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处置固定资产、无形资产和其他长期资产而所收到的现金净额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Net cash received from disposal of fixed assets, intangible assets, and other long-term assets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收到的其他与投资活动有关的现金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Other cash received from activities relating to investment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lastRenderedPageBreak/>
              <w:t>现金流入小计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Sub-total of cash inflow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购建固定资产、无形资产和其他长期资产所支付的现金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5850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Cash paid for purchase of fixed assets, intangible assets, and other long-term assets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51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投资所支付的现金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 w:hint="eastAsia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Cash paid for investment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支付的其他与投资活动有关的现金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 w:hint="eastAsia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Other cash paid for activities relating to investment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现金流出小计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5850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Sub-total of cash outflow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投资活动产生的现金流量净额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-5850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Net cash flow from investment activities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三、筹资活动产生的现金流量</w:t>
            </w:r>
            <w:r w:rsidRPr="00CE1FA2">
              <w:rPr>
                <w:rFonts w:ascii="微软雅黑" w:eastAsia="微软雅黑" w:hAnsi="微软雅黑"/>
              </w:rPr>
              <w:t xml:space="preserve"> Cash flow from financing activities</w:t>
            </w:r>
          </w:p>
        </w:tc>
        <w:tc>
          <w:tcPr>
            <w:tcW w:w="850" w:type="dxa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吸收投资所收到的现金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 w:hint="eastAsia"/>
              </w:rPr>
              <w:t>3200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Cash received by absorbing investment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借款所收到的现金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5100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Cash acquired from borrowings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收到的其他与筹资活动有关的现金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Other cash received from activities relating to financing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现金流入小计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8300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Sub-total of cash inflow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偿还债务所支付的现金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Cash paid for debt redemption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分配股利、利润或偿付利息所支付的现金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 w:hint="eastAsia"/>
              </w:rPr>
              <w:t>230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Cash paid for distribution of dividend or profit or payment of interest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支付的其他与筹资活动有关的现金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 w:hint="eastAsia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Other cash paid for activities relating to financing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现金流出小计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230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Sub-total of cash outflow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筹资活动产生的现金流量净额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8070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Net cash flow from financing activities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bottom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汇率变动对现金的影响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Effect of exchange rate change on cash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 w:hint="eastAsia"/>
              </w:rPr>
              <w:t>现金及现金等价物净增加额</w:t>
            </w:r>
          </w:p>
        </w:tc>
        <w:tc>
          <w:tcPr>
            <w:tcW w:w="850" w:type="dxa"/>
            <w:vMerge w:val="restart"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 w:hint="eastAsia"/>
              </w:rPr>
            </w:pPr>
            <w:r w:rsidRPr="00CE1FA2">
              <w:rPr>
                <w:rFonts w:ascii="微软雅黑" w:eastAsia="微软雅黑" w:hAnsi="微软雅黑"/>
              </w:rPr>
              <w:t>172</w:t>
            </w:r>
          </w:p>
        </w:tc>
      </w:tr>
      <w:tr w:rsidR="00CE1FA2" w:rsidRPr="00CE1FA2" w:rsidTr="00CE1FA2">
        <w:trPr>
          <w:trHeight w:val="70"/>
        </w:trPr>
        <w:tc>
          <w:tcPr>
            <w:tcW w:w="9356" w:type="dxa"/>
            <w:tcBorders>
              <w:top w:val="dotted" w:sz="4" w:space="0" w:color="auto"/>
            </w:tcBorders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  <w:r w:rsidRPr="00CE1FA2">
              <w:rPr>
                <w:rFonts w:ascii="微软雅黑" w:eastAsia="微软雅黑" w:hAnsi="微软雅黑"/>
              </w:rPr>
              <w:t>Net increment in cash and cash equivalent</w:t>
            </w:r>
          </w:p>
        </w:tc>
        <w:tc>
          <w:tcPr>
            <w:tcW w:w="850" w:type="dxa"/>
            <w:vMerge/>
            <w:hideMark/>
          </w:tcPr>
          <w:p w:rsidR="00CE1FA2" w:rsidRPr="00CE1FA2" w:rsidRDefault="00CE1FA2" w:rsidP="00CE1FA2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</w:tr>
    </w:tbl>
    <w:p w:rsidR="00CE1FA2" w:rsidRPr="00CE1FA2" w:rsidRDefault="00CE1FA2" w:rsidP="00CE1FA2">
      <w:pPr>
        <w:spacing w:line="360" w:lineRule="exact"/>
        <w:rPr>
          <w:rFonts w:ascii="微软雅黑" w:eastAsia="微软雅黑" w:hAnsi="微软雅黑" w:hint="eastAsia"/>
        </w:rPr>
      </w:pPr>
    </w:p>
    <w:p w:rsidR="009D5632" w:rsidRPr="00CE1FA2" w:rsidRDefault="009D5632"/>
    <w:sectPr w:rsidR="009D5632" w:rsidRPr="00CE1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FA2"/>
    <w:rsid w:val="009D5632"/>
    <w:rsid w:val="00CE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66D6DE-3613-47FB-8E98-F09F6313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1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3A55-264C-42B1-96E4-217612FB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Sheldon</dc:creator>
  <cp:keywords/>
  <dc:description/>
  <cp:lastModifiedBy>Sheldon</cp:lastModifiedBy>
  <cp:revision>1</cp:revision>
  <dcterms:created xsi:type="dcterms:W3CDTF">2016-01-24T03:31:00Z</dcterms:created>
  <dcterms:modified xsi:type="dcterms:W3CDTF">2016-01-24T03:41:00Z</dcterms:modified>
</cp:coreProperties>
</file>