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729" w:rsidRPr="00760729" w:rsidRDefault="00760729" w:rsidP="00760729">
      <w:pPr>
        <w:pStyle w:val="a3"/>
        <w:spacing w:before="0" w:afterLines="100" w:after="312" w:line="560" w:lineRule="exact"/>
        <w:jc w:val="center"/>
        <w:rPr>
          <w:rFonts w:ascii="方正小标宋简体" w:eastAsia="方正小标宋简体"/>
          <w:sz w:val="44"/>
          <w:szCs w:val="44"/>
        </w:rPr>
      </w:pPr>
      <w:r w:rsidRPr="00760729">
        <w:rPr>
          <w:rFonts w:ascii="方正小标宋简体" w:eastAsia="方正小标宋简体" w:hint="eastAsia"/>
          <w:sz w:val="44"/>
          <w:szCs w:val="44"/>
        </w:rPr>
        <w:t>资金预算管理制度</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第一章  总则</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第一条  为合理有效地筹措、分配、使用资金，加强对公司内资金使用的监督和管理，提高资金利润率，保证资金安全，特制定本制度。</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第二条  资金预算编制和监督执行由公司总部财务部负责，资金的筹措、分配</w:t>
      </w:r>
      <w:r w:rsidR="00850D1F">
        <w:rPr>
          <w:rFonts w:ascii="仿宋_GB2312" w:eastAsia="仿宋_GB2312" w:hint="eastAsia"/>
          <w:sz w:val="32"/>
          <w:szCs w:val="32"/>
        </w:rPr>
        <w:t>和</w:t>
      </w:r>
      <w:r w:rsidRPr="00760729">
        <w:rPr>
          <w:rFonts w:ascii="仿宋_GB2312" w:eastAsia="仿宋_GB2312" w:hint="eastAsia"/>
          <w:sz w:val="32"/>
          <w:szCs w:val="32"/>
        </w:rPr>
        <w:t>使用由公司总部财务部负责。各部门和单位要积极配合财务部工作，按要求保质保量报送有关资料。</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第三条  资金预算原则：合法性、可行性、客观性、科学性</w:t>
      </w:r>
      <w:r w:rsidR="00850D1F">
        <w:rPr>
          <w:rFonts w:ascii="仿宋_GB2312" w:eastAsia="仿宋_GB2312" w:hint="eastAsia"/>
          <w:sz w:val="32"/>
          <w:szCs w:val="32"/>
        </w:rPr>
        <w:t>和</w:t>
      </w:r>
      <w:r w:rsidRPr="00760729">
        <w:rPr>
          <w:rFonts w:ascii="仿宋_GB2312" w:eastAsia="仿宋_GB2312" w:hint="eastAsia"/>
          <w:sz w:val="32"/>
          <w:szCs w:val="32"/>
        </w:rPr>
        <w:t>经济性。</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第四条  本制度适用于整个××集团公司。</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第二章  预算的编制</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第五条  公司实行全面预算管理制度，预算编制范围包括企业所有收、支项目。企业各部门主管根据实际情况编制年度预算、季度预算和月度预算。各部门应在每月25日之前向企业财务部上报次月的月度预算；每个季度末20日之前上报次季度的季度预算；每年12月10日之前根据公司的年度计划上报次年的年度预算。</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第六条  企业财务部对各部门上报的季度、月度预算进行审核，重点审核是否对年度预算进行了合理的分解，并将预算总额控制在合理的范围内，审核预算表内所有项目是否有据可依。财务部应每月28日前汇总、编制次月公司总的资金预算表，按月配合修订，并于次月10日前，编制上月资金</w:t>
      </w:r>
      <w:r w:rsidRPr="00760729">
        <w:rPr>
          <w:rFonts w:ascii="仿宋_GB2312" w:eastAsia="仿宋_GB2312" w:hint="eastAsia"/>
          <w:sz w:val="32"/>
          <w:szCs w:val="32"/>
        </w:rPr>
        <w:lastRenderedPageBreak/>
        <w:t>比较表。</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第七条  所属各部门的常规费用预算及专项费用预算由各部门按以往月平均数编制；企业人工费用及相关费用、劳务费用由公司人力资源部编制；企业车辆使用费及修理费、财产保险费、租赁费、折旧费、印刷费、企业会议费、董事会费、通信费和办公费由公司行政部负责编制。</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第八条  预算表内所有项目必须有据可依，根据费用类别分别按照实际情况进行填写。各项预算填写标准如下</w:t>
      </w:r>
      <w:r w:rsidR="00850D1F">
        <w:rPr>
          <w:rFonts w:ascii="仿宋_GB2312" w:eastAsia="仿宋_GB2312" w:hint="eastAsia"/>
          <w:sz w:val="32"/>
          <w:szCs w:val="32"/>
        </w:rPr>
        <w:t>所示。</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1.部门常规费用类：各部门按照月平均预测后填写。</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2.非常规项目类：凡属于部门非常规项目的费用预算，均需提供详细的预算明细及费用计划和总经理批准的相关文件和费用申请。</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3.已签合同类：必须填写合同付款条件、合同总金额、已付金额、合同完成情况简述。</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4.合同正在谈判类：总经理批准同意过的未签订合同类，必须填写预估合同总金额、预计支付金额。</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5.尚未进行商务谈判类：不计入当期预算。</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6.其他无合同类：经总经理批核后的此类费用必须填写备注说明。</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7.政府收费类：必须填写相关收费文件名称，将收费文件同时作为附件上报至财务部。</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第九条  公司各部门所有固定资产购置类预算在上报前，需填写《物品申购单》，上报各相关领导，各部门根据各相关领导签批。经总经理审批通过的计入当期预算。</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lastRenderedPageBreak/>
        <w:t>第十条  各项费用预算编列依据。</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1.资本支出：（1）土地，公司总务部依据购地支付计划提供的支付预算数编列；（2）房屋，公司总务部依据兴建工程进度，预计所需支付资金编列；（3）设备，公司总务部依据采购计划和进度，预计支付资金编列。</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2.经营费用：各分支机构经营费用分为固定费用</w:t>
      </w:r>
      <w:r w:rsidR="00850D1F">
        <w:rPr>
          <w:rFonts w:ascii="仿宋_GB2312" w:eastAsia="仿宋_GB2312" w:hint="eastAsia"/>
          <w:sz w:val="32"/>
          <w:szCs w:val="32"/>
        </w:rPr>
        <w:t>和</w:t>
      </w:r>
      <w:r w:rsidRPr="00760729">
        <w:rPr>
          <w:rFonts w:ascii="仿宋_GB2312" w:eastAsia="仿宋_GB2312" w:hint="eastAsia"/>
          <w:sz w:val="32"/>
          <w:szCs w:val="32"/>
        </w:rPr>
        <w:t>变动费用两大类。</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1）固定费用：①办公场所租金管理费，按租赁合同，每月固定发生；②办公场所水电费，按合同规定的单价和实际发生的数量支付；③员工宿舍的租金，按租赁合同，每月固定支付；④员工宿舍水电煤，按合同规定的单价和实际发生的数量支付；⑤工资，按合约书和行政部提供的考勤表计算后支付，在计算时要注意代扣代缴员工个人所负担的个人所得税；⑥社会保险，指按国家规定购买的员工社会保险；⑦专业上网费，指公司宽带上网费或其他形式使用互联网的费用。</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2）变动费用：①办公费，指办公文具等200元内的杂项开支；②办公耗材，指办公用碳粉、硒鼓、墨盒、纸张等；③电话费，办公用电话；④交通费，指因处理公务外出，在本市区内发生的交通费；⑤维修保养费，修理费包括车辆的维修保养</w:t>
      </w:r>
      <w:r w:rsidR="004B24AB">
        <w:rPr>
          <w:rFonts w:ascii="仿宋_GB2312" w:eastAsia="仿宋_GB2312" w:hint="eastAsia"/>
          <w:sz w:val="32"/>
          <w:szCs w:val="32"/>
        </w:rPr>
        <w:t>，</w:t>
      </w:r>
      <w:bookmarkStart w:id="0" w:name="_GoBack"/>
      <w:bookmarkEnd w:id="0"/>
      <w:r w:rsidRPr="00760729">
        <w:rPr>
          <w:rFonts w:ascii="仿宋_GB2312" w:eastAsia="仿宋_GB2312" w:hint="eastAsia"/>
          <w:sz w:val="32"/>
          <w:szCs w:val="32"/>
        </w:rPr>
        <w:t>以及电脑、传真、复印机及电器等各类财产的维修和维修用的价值较低的配件；⑥差旅费，指员工出差发生的交通费用、住宿费等相关费用，具体参照公司差旅费管理制度执行；⑦业务招待费，指</w:t>
      </w:r>
      <w:r w:rsidR="004B24AB">
        <w:rPr>
          <w:rFonts w:ascii="仿宋_GB2312" w:eastAsia="仿宋_GB2312" w:hint="eastAsia"/>
          <w:sz w:val="32"/>
          <w:szCs w:val="32"/>
        </w:rPr>
        <w:t>因</w:t>
      </w:r>
      <w:r w:rsidRPr="00760729">
        <w:rPr>
          <w:rFonts w:ascii="仿宋_GB2312" w:eastAsia="仿宋_GB2312" w:hint="eastAsia"/>
          <w:sz w:val="32"/>
          <w:szCs w:val="32"/>
        </w:rPr>
        <w:t>业务经营的需要而支付的合</w:t>
      </w:r>
      <w:r w:rsidRPr="00760729">
        <w:rPr>
          <w:rFonts w:ascii="仿宋_GB2312" w:eastAsia="仿宋_GB2312" w:hint="eastAsia"/>
          <w:sz w:val="32"/>
          <w:szCs w:val="32"/>
        </w:rPr>
        <w:lastRenderedPageBreak/>
        <w:t>理的应酬费；⑧专业费用，包括工商注册登记、工商年检、报表审计、税务财务等咨询费用</w:t>
      </w:r>
      <w:r w:rsidR="004B24AB">
        <w:rPr>
          <w:rFonts w:ascii="仿宋_GB2312" w:eastAsia="仿宋_GB2312" w:hint="eastAsia"/>
          <w:sz w:val="32"/>
          <w:szCs w:val="32"/>
        </w:rPr>
        <w:t>，</w:t>
      </w:r>
      <w:r w:rsidRPr="00760729">
        <w:rPr>
          <w:rFonts w:ascii="仿宋_GB2312" w:eastAsia="仿宋_GB2312" w:hint="eastAsia"/>
          <w:sz w:val="32"/>
          <w:szCs w:val="32"/>
        </w:rPr>
        <w:t>聘请会计师事务所进行查账、验资、资产评估等发生的费用</w:t>
      </w:r>
      <w:r w:rsidR="00850D1F">
        <w:rPr>
          <w:rFonts w:ascii="仿宋_GB2312" w:eastAsia="仿宋_GB2312" w:hint="eastAsia"/>
          <w:sz w:val="32"/>
          <w:szCs w:val="32"/>
        </w:rPr>
        <w:t>和</w:t>
      </w:r>
      <w:r w:rsidRPr="00760729">
        <w:rPr>
          <w:rFonts w:ascii="仿宋_GB2312" w:eastAsia="仿宋_GB2312" w:hint="eastAsia"/>
          <w:sz w:val="32"/>
          <w:szCs w:val="32"/>
        </w:rPr>
        <w:t>税金等。</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3.其他支出：凡不属于上列各项的支出都属于“其他支出”。</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第十一条  预算的编制采用上下结合、综合平衡的办法，即自上而下分解目标，明确任务；自下而上层层填报，逐级审核。预算编制及审批流程如下图（略）。</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第三章  预算控制与差异分析</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第十二条  财务部根据总经理批准通过的财务预算对各部门的预算执行情况进行监控。各部门要控制资金使用情况，减少不合理的费用开支，提高资金营运质量和利用率。</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第十三条  当月超预算金额在预算金额10%以内的，由部门经理审批；超过10%的，需说明超支原因、今后解决方案，交公司财务部翻查核实，报总经理审批。具体流程如下图（略）。</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第十四条  为了引导企业每一位员工向企业战略目标方向努力，公司将对全面预算管理系统进行考核评价，财务部每月末、季度末向总经理通报各部门预算的完成情况。</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第四章  资金预算的执行与控制</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第十五条  资金预算的执行。各部门有预算付款项目需支付时，至少提前5个工作日到财务部办理申请付款手续，填写《付款申请单》经部门主管审核，报财务总监、总经理审批后，财务部办理相关付款手续。</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lastRenderedPageBreak/>
        <w:t>1.财务部要严格控制货币资金支出，要严格审查各项付款业务的合法性、真实性和审批手续的完整性。</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2.对于无预算的付款项目，需作为专项开支，上报财务总监、总经理审核批准后方可支付。</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3.对无合同、无发票但又必须办理付款的，应先按公司审批权限规定的要求批准同意，同时填写《暂借款单》作为经办人个人借支处理，事后凭借相关票据办理核销手续。</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4.对于无审批手续及不合理、不合法的付款业务，一律不予支付。</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第十六条  资金预算的控制。各部门必须严格执行上报总经理审批后的预算指标，部门内资金预算支出要严格控制在资金预算指标内，不得</w:t>
      </w:r>
      <w:r w:rsidR="00850D1F">
        <w:rPr>
          <w:rFonts w:ascii="仿宋_GB2312" w:eastAsia="仿宋_GB2312" w:hint="eastAsia"/>
          <w:sz w:val="32"/>
          <w:szCs w:val="32"/>
        </w:rPr>
        <w:t>超出</w:t>
      </w:r>
      <w:r w:rsidRPr="00760729">
        <w:rPr>
          <w:rFonts w:ascii="仿宋_GB2312" w:eastAsia="仿宋_GB2312" w:hint="eastAsia"/>
          <w:sz w:val="32"/>
          <w:szCs w:val="32"/>
        </w:rPr>
        <w:t>资金预算支出指标。</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1.财务部要根据企业每天货币资金收入、结存情况和月度《资金预算》，安排《货币资金支出计划》。</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2.财务部必须逐日向财务总监、总经理呈报“银行存款及现金日报表”。</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第十七条  资金预算外的支出。</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1.企业实行预算管理后，若因特殊原因付款项目未列入预算内的，经部门主管申请，财务总监审核，总经理审批后，财务部可安排预算外资金支出。</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2.所有预算外资金支出一律列入下月份的预算（但不再安排支出），以实现各月份预算的衔接和平衡。</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第十八条  预算的分析。企业建立预算分析制度，由财务部按月进行资金分析，按月编制《资金预算执行情况表》，</w:t>
      </w:r>
      <w:r w:rsidRPr="00760729">
        <w:rPr>
          <w:rFonts w:ascii="仿宋_GB2312" w:eastAsia="仿宋_GB2312" w:hint="eastAsia"/>
          <w:sz w:val="32"/>
          <w:szCs w:val="32"/>
        </w:rPr>
        <w:lastRenderedPageBreak/>
        <w:t>全面分析资金管理情况，研究、解决资金管理中存在的问题，提出加强和改进资金管理的政策措施，纠正预算执行中的偏差。</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第五章  附则</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第十九条  本制度由财务会计部负责制订、解释并检查考核，经预算管理委员会批准后实施。</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第二十条  本制度的修订权、解释权归企业财务部所有。</w:t>
      </w:r>
    </w:p>
    <w:p w:rsidR="00760729" w:rsidRPr="00760729" w:rsidRDefault="00760729" w:rsidP="00760729">
      <w:pPr>
        <w:pStyle w:val="a3"/>
        <w:spacing w:before="0" w:line="560" w:lineRule="exact"/>
        <w:ind w:firstLineChars="200" w:firstLine="640"/>
        <w:jc w:val="both"/>
        <w:rPr>
          <w:rFonts w:ascii="仿宋_GB2312" w:eastAsia="仿宋_GB2312"/>
          <w:sz w:val="32"/>
          <w:szCs w:val="32"/>
        </w:rPr>
      </w:pPr>
      <w:r w:rsidRPr="00760729">
        <w:rPr>
          <w:rFonts w:ascii="仿宋_GB2312" w:eastAsia="仿宋_GB2312" w:hint="eastAsia"/>
          <w:sz w:val="32"/>
          <w:szCs w:val="32"/>
        </w:rPr>
        <w:t>第二十一条  本制度施行后，原有的类似制度自行终止，与本制度有抵触的规定以本制度为准。</w:t>
      </w:r>
    </w:p>
    <w:p w:rsidR="00760729" w:rsidRPr="00760729" w:rsidRDefault="00760729" w:rsidP="00760729">
      <w:pPr>
        <w:spacing w:line="560" w:lineRule="exact"/>
        <w:ind w:firstLineChars="200" w:firstLine="640"/>
        <w:rPr>
          <w:rFonts w:ascii="仿宋_GB2312" w:eastAsia="仿宋_GB2312"/>
          <w:sz w:val="32"/>
          <w:szCs w:val="32"/>
        </w:rPr>
      </w:pPr>
      <w:r w:rsidRPr="00760729">
        <w:rPr>
          <w:rFonts w:ascii="仿宋_GB2312" w:eastAsia="仿宋_GB2312" w:hint="eastAsia"/>
          <w:sz w:val="32"/>
          <w:szCs w:val="32"/>
        </w:rPr>
        <w:t>第二十二条  本制度自颁布之日起施行。</w:t>
      </w:r>
    </w:p>
    <w:sectPr w:rsidR="00760729" w:rsidRPr="007607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729"/>
    <w:rsid w:val="004B24AB"/>
    <w:rsid w:val="00760729"/>
    <w:rsid w:val="0085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C7411"/>
  <w15:chartTrackingRefBased/>
  <w15:docId w15:val="{C9FCCBF3-E5D4-4A90-8E0C-B32DF33E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760729"/>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426</Words>
  <Characters>2432</Characters>
  <Application>Microsoft Office Word</Application>
  <DocSecurity>0</DocSecurity>
  <Lines>20</Lines>
  <Paragraphs>5</Paragraphs>
  <ScaleCrop>false</ScaleCrop>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3</cp:revision>
  <dcterms:created xsi:type="dcterms:W3CDTF">2019-04-16T07:08:00Z</dcterms:created>
  <dcterms:modified xsi:type="dcterms:W3CDTF">2019-06-20T09:08:00Z</dcterms:modified>
</cp:coreProperties>
</file>