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714B" w:rsidRPr="001D5DBD" w:rsidRDefault="00C8714B" w:rsidP="001D5DBD">
      <w:pPr>
        <w:spacing w:line="560" w:lineRule="exact"/>
        <w:jc w:val="center"/>
        <w:rPr>
          <w:rFonts w:ascii="方正小标宋简体" w:eastAsia="方正小标宋简体"/>
          <w:sz w:val="44"/>
          <w:szCs w:val="44"/>
        </w:rPr>
      </w:pPr>
      <w:r w:rsidRPr="001D5DBD">
        <w:rPr>
          <w:rFonts w:ascii="方正小标宋简体" w:eastAsia="方正小标宋简体" w:hint="eastAsia"/>
          <w:sz w:val="44"/>
          <w:szCs w:val="44"/>
        </w:rPr>
        <w:t>费用开支管理办法</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为了加强费用管理，本着节约开支、增加效益的原则，根据有关财务制度的规定，结合股份公司的具体实际，对费用开支实行“预算计划控制、分级归口审批控制、考核奖惩控制”相结合的管理办法。本办法适用于公司直属分公司及控股子公司。</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一、预算计划控制</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为了严格控制各项费用开支，股份公司系统内各单位全面实行费用预算计划管理。即每年的10月底之前，各单位将下半年的各项费用开支明细、预算开支计划上报股份公司，由股份公司财务部参照历史水平及具体实际审查、核定各单位的费用开支预算计划，经股份公司经理办公会、董事会审核批准后下达到各单位。各单位应根据“谁花钱、谁管理、谁负责”的原则及实际经营的变化情况，将费用预算计划指标按月份进度明细科目层层分解到各科、部、组，并与个人的工资奖金挂钩，将控制和监督费用的开支情况落实到每个人的自觉行动中去。股份公司财务部应及时汇总、反馈各单位费用预算计划指标的执行情况，找出差距，分析原因，提出建议，采取相应措施，堵塞漏洞。对预算计划外的费用开支，应随时申报临时计划，经批准后执行。</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二、分级归口审批控制</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在预算计划控制的基础上，股份公司对各项费用开支进行分级归口管理，做到层层把关，堵塞漏洞。</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1.经营费用中的运杂费、包装费、保管费、差旅费及其</w:t>
      </w:r>
      <w:r w:rsidRPr="00C8714B">
        <w:rPr>
          <w:rFonts w:ascii="仿宋_GB2312" w:eastAsia="仿宋_GB2312" w:hint="eastAsia"/>
          <w:sz w:val="32"/>
          <w:szCs w:val="32"/>
        </w:rPr>
        <w:lastRenderedPageBreak/>
        <w:t>他费用（不含保险费、广告样品费、工资及福利费）等，在预算额度内的由各单位负责人及股份公司分管经理签批；在预算额度外的由各单位申报临时计划，经股份公司经理办公会审批</w:t>
      </w:r>
      <w:r w:rsidR="00CD5467">
        <w:rPr>
          <w:rFonts w:ascii="仿宋_GB2312" w:eastAsia="仿宋_GB2312" w:hint="eastAsia"/>
          <w:sz w:val="32"/>
          <w:szCs w:val="32"/>
        </w:rPr>
        <w:t>、</w:t>
      </w:r>
      <w:r w:rsidRPr="00C8714B">
        <w:rPr>
          <w:rFonts w:ascii="仿宋_GB2312" w:eastAsia="仿宋_GB2312" w:hint="eastAsia"/>
          <w:sz w:val="32"/>
          <w:szCs w:val="32"/>
        </w:rPr>
        <w:t>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2.管理费用中的办公车费、邮电费、差旅费、通勤费、水电费、书报资料费、空调费、卫生费、印刷费、办公用品及零星购置费、审计费以及其他费用（不含业务招待费、修理费、低值易耗品摊销、诉讼费、长期待摊费用摊销、无形资产摊销、费用性税金、劳动保护费、工资及附加费、会务费)等，在预算额度内的由各单位负责人及股份公司分管经理签批；在预算额度外的由各单位申报临时计划，经股份公司经理办公会审批、同意追加预算计划后，方可列支。集团总部的费用开支由各分口主管部门及主管经理审核，主管财务副总、总经理签批。</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3.财务费用中的利息支出、汇兑损益及手续费等，在预算额度内的由各单位负责人及股份公司分管经理签批；在预算额度外的由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4.工资：包括固定工资、效益工资、加班费、夜餐费以及各种工资性质的津贴等，由股份公司人力资源部根据股份公司工资管理标准及考核分配方案进行核定。</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5.工资附加费：包括工会经费、教育经费、福利费、劳动统筹保险、住房公积金等。工会经费、教育经费、福利费按国家的有关规定及核准发放的工资标准，据实提取、列支。</w:t>
      </w:r>
      <w:r w:rsidRPr="00C8714B">
        <w:rPr>
          <w:rFonts w:ascii="仿宋_GB2312" w:eastAsia="仿宋_GB2312" w:hint="eastAsia"/>
          <w:sz w:val="32"/>
          <w:szCs w:val="32"/>
        </w:rPr>
        <w:lastRenderedPageBreak/>
        <w:t>劳动统筹保险、住房公积金按国家的有关规定，在预算额度内的由各单位负责人及股份公司分管经理签批；在预算额度外的由各单位申报临时计划。经股份公司经理办公会审批、同意追加预算计划后，方可列支。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6.劳动保护费包括劳保用品费、防暑降温费，由股份公司人力资源部核定，在预算额度内的由各单位负责人及股份公司分管经理签批；在预算额度外的由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7.保险费：股份公司系统内各单位的各种财产的保险，均须由股份公司统一办理。每一年度内由各单位在投保日到期前10日上报股份公司财务部财产保险申请，标明应保财产明细、应保险险种。由财务部将各单位上报的应保险险种及保费金额汇总，在预算额度内的报股份公司经理办公会审批后统一投保，统一支付保费。预算额度外的由各单位申报临时计划，经股份公司经理办公会审批、同意追加预算计划后，方可列支。本着“谁受益、谁承担”的原则，按各单位财产投保情况，按不同险种，分摊保险费。特殊情况除外。</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8.广告样品费：各单位应事先将广告计划报经股份公司有关部门审核，公司分管副总签字，在预算额度内，由各单位负责人、股份公司分管经理签批；在预算额度外的由各单位申报临时计划，经股份公司经理办公会审批、同意追加预算计划后，方可列支。企业为了扩大影响而在各种媒体上做宣传所发生的广告费，应于相关广告见诸于媒体时，作为期</w:t>
      </w:r>
      <w:r w:rsidRPr="00C8714B">
        <w:rPr>
          <w:rFonts w:ascii="仿宋_GB2312" w:eastAsia="仿宋_GB2312" w:hint="eastAsia"/>
          <w:sz w:val="32"/>
          <w:szCs w:val="32"/>
        </w:rPr>
        <w:lastRenderedPageBreak/>
        <w:t>间费用直接进入当期营业费用，不得预提或待摊。如果有确凿证据表明（按合同或协议约定等）企业实际支付的广告费，其相对应的有关广告服务将在未来几个会计年度内获得，则本期实际支出的广告费作为预付账款，在接受广告服务的各会计年度内，按合同或协议约定的各期接受广告服务的比例分期计入损益。如果没有确凿证据表明当期发生时广告费是为了在以后会计年度取得有关广告服务，则应将广告费于相关广告见诸于媒体时计入当期损益。</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9.存货的非自然损失：除超市商品外，单一品种损失在5 000元以下且在预算额度内的，由各单位负责人、股份公司分管经理签批，同时报股份公司备案；单一品种的损失在5 000元以上，无论是否在预算内，均需报经股份公司财务部、主管经理审核，主管财务副总、总经理签批。超市商品损耗率应控制在4‰以内。在预算额度外的由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10.业务招待费：各单位的业务招待费预算应控制在销售额的2‰以下。在预算额度内的</w:t>
      </w:r>
      <w:r w:rsidR="00FB2970">
        <w:rPr>
          <w:rFonts w:ascii="仿宋_GB2312" w:eastAsia="仿宋_GB2312" w:hint="eastAsia"/>
          <w:sz w:val="32"/>
          <w:szCs w:val="32"/>
        </w:rPr>
        <w:t>，</w:t>
      </w:r>
      <w:r w:rsidRPr="00C8714B">
        <w:rPr>
          <w:rFonts w:ascii="仿宋_GB2312" w:eastAsia="仿宋_GB2312" w:hint="eastAsia"/>
          <w:sz w:val="32"/>
          <w:szCs w:val="32"/>
        </w:rPr>
        <w:t>由各单位负责人、股份公司分管经理审批</w:t>
      </w:r>
      <w:r w:rsidR="00A41D16">
        <w:rPr>
          <w:rFonts w:ascii="仿宋_GB2312" w:eastAsia="仿宋_GB2312" w:hint="eastAsia"/>
          <w:sz w:val="32"/>
          <w:szCs w:val="32"/>
        </w:rPr>
        <w:t>；</w:t>
      </w:r>
      <w:r w:rsidRPr="00C8714B">
        <w:rPr>
          <w:rFonts w:ascii="仿宋_GB2312" w:eastAsia="仿宋_GB2312" w:hint="eastAsia"/>
          <w:sz w:val="32"/>
          <w:szCs w:val="32"/>
        </w:rPr>
        <w:t>在预算额度外的由各单位申报临时计划，经股份公司经理办公会审批、同意追加预算计划后</w:t>
      </w:r>
      <w:r w:rsidR="00A41D16">
        <w:rPr>
          <w:rFonts w:ascii="仿宋_GB2312" w:eastAsia="仿宋_GB2312" w:hint="eastAsia"/>
          <w:sz w:val="32"/>
          <w:szCs w:val="32"/>
        </w:rPr>
        <w:t>，</w:t>
      </w:r>
      <w:r w:rsidRPr="00C8714B">
        <w:rPr>
          <w:rFonts w:ascii="仿宋_GB2312" w:eastAsia="仿宋_GB2312" w:hint="eastAsia"/>
          <w:sz w:val="32"/>
          <w:szCs w:val="32"/>
        </w:rPr>
        <w:t>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11.修理费：各单位应在上报年度费用预算计划的同时，上报修理项目明细计划。仔细写明修理的项目、理由及修理费预算额，并报经公司经理办公会审批。对于万元以下的修</w:t>
      </w:r>
      <w:r w:rsidRPr="00C8714B">
        <w:rPr>
          <w:rFonts w:ascii="仿宋_GB2312" w:eastAsia="仿宋_GB2312" w:hint="eastAsia"/>
          <w:sz w:val="32"/>
          <w:szCs w:val="32"/>
        </w:rPr>
        <w:lastRenderedPageBreak/>
        <w:t>理费， 在预算额度内的，由各单位负责人、股份公司分管经理审批；万元以上的</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修理费，在预算额度内的，由各单位负责人、股份公司分管经理审批，同时还应附有合同、承修单位的预算。另外还要附决算报告书，股份公司将按预算项目进行审查，预算额度外的由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12.固定资产、低值易耗品的购置、摊销及报废：各单位在上报费用预算计划同时，报股份公司固定资产及低值易耗品的购置明细计划，经股份公司财务部、办公室审核后，提交经理办公会审批。在预算额度内的，由各单位负责人、股份公司分管经理审批；在预算额度外的，由各单位申报临时计划，经股份公司经理办公会审批、同意追加预算计划后，方可列支。购置后应按会计制度及股份公司的有关管理规定及时、足额提取折旧以及摊销。固定资产、低值易耗品报废无论金额大小，均需报经股份公司财务部、办公室、主管经理审核，主管财务副总、总经理签批。</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13.预算额度内的折旧费、费用性税金、长期待摊费用摊销、无形资产摊销由各单位财会部门按会计制度、税法及公司的有关规定据实提取、列支。在预算额度外的由各单位申报临时计划</w:t>
      </w:r>
      <w:r w:rsidR="006E7086">
        <w:rPr>
          <w:rFonts w:ascii="仿宋_GB2312" w:eastAsia="仿宋_GB2312" w:hint="eastAsia"/>
          <w:sz w:val="32"/>
          <w:szCs w:val="32"/>
        </w:rPr>
        <w:t>，</w:t>
      </w:r>
      <w:bookmarkStart w:id="0" w:name="_GoBack"/>
      <w:bookmarkEnd w:id="0"/>
      <w:r w:rsidRPr="00C8714B">
        <w:rPr>
          <w:rFonts w:ascii="仿宋_GB2312" w:eastAsia="仿宋_GB2312" w:hint="eastAsia"/>
          <w:sz w:val="32"/>
          <w:szCs w:val="32"/>
        </w:rPr>
        <w:t>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14.预算额度内的会务场包括会议费、各种协会会员费等，无论金额大小均需经股份公司分管经理、主管财务副总、</w:t>
      </w:r>
      <w:r w:rsidRPr="00C8714B">
        <w:rPr>
          <w:rFonts w:ascii="仿宋_GB2312" w:eastAsia="仿宋_GB2312" w:hint="eastAsia"/>
          <w:sz w:val="32"/>
          <w:szCs w:val="32"/>
        </w:rPr>
        <w:lastRenderedPageBreak/>
        <w:t>总经理审批。在预算额度外的由各单位申报临时计划，经股份公司经理办公会审批、同意追加预算计划后，方可列支。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15.预算额度内的坏账损失：无论金额大小，均需报经股份公司财务部、分管经理审批， 经股份公司经理办公会审批、同意后，方可列支。在预算额度外的由各单位申报临时计划，经股份公司经理办公会审批、同意追加预算计划后，方可列支。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16.差旅费：股份公司所有人员的境内公出均需报股份公司总经理签批。境内公出</w:t>
      </w:r>
      <w:r w:rsidR="001E7445">
        <w:rPr>
          <w:rFonts w:ascii="仿宋_GB2312" w:eastAsia="仿宋_GB2312" w:hint="eastAsia"/>
          <w:sz w:val="32"/>
          <w:szCs w:val="32"/>
        </w:rPr>
        <w:t>，</w:t>
      </w:r>
      <w:r w:rsidRPr="00C8714B">
        <w:rPr>
          <w:rFonts w:ascii="仿宋_GB2312" w:eastAsia="仿宋_GB2312" w:hint="eastAsia"/>
          <w:sz w:val="32"/>
          <w:szCs w:val="32"/>
        </w:rPr>
        <w:t>公司副总经理公出由总经理签批；基层单位经理公出由股份公司财务审核分管经理及总经理签批；公司各部室负责人公出由主管经理签批；经营单位其他人员公出由各单位负责人签批；公司各部室人员公出由所在部门负责人及主管经理签批。差旅费的开支标准详见股份公司《关于工作人员差旅费开支的暂行规定》。在预算额度内的，由各单位负责人、股份公司分管经理审批；在预算额度外的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17.预算额度内的诉讼费原则上报经股份公司有关部门、主管经理审核、总经理签批。在预算额度外的由各单位申报临时计划，经股份公司经理办公会审批、同意追加预算计划后，方可列支。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18.劳动保险费中的离退休人员的医药费、各种补贴、经费等，按股份公司的离退休人员有关管理规定执行。</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19.赞助费、扶贫款等公益性支出，无论金额大小，均需</w:t>
      </w:r>
      <w:r w:rsidRPr="00C8714B">
        <w:rPr>
          <w:rFonts w:ascii="仿宋_GB2312" w:eastAsia="仿宋_GB2312" w:hint="eastAsia"/>
          <w:sz w:val="32"/>
          <w:szCs w:val="32"/>
        </w:rPr>
        <w:lastRenderedPageBreak/>
        <w:t>由股份公司统一安排。经股份公司经理办公会审批、同意后，方可列支。</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三、考核奖惩控制</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对费用采取总额管理控制目标与分项目管理控制目标兼顾考核的办法，奖惩以总额管理控制目标考核为主。各单位每月应上报股份公司财务部费用开支预算计划执行情况表，由股份公司财务部进行汇总、分析、考核，作为对费用开支预算计划执行情况的考核和对各单位的经营业绩考核的重要内容之一，直接与奖金分配挂钩。对费用指标的考核主要突出对总额管理控制目标的考核，既考核预算计划完成情况，也考核比同期增减的幅度，根据不同的权数综合计算总分值，通过总分值来综合评价各单位的经营业绩，详见《绩效考评办法》。</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四、股份公司直属分公司及控股子公司均须按本办法执行。</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凡不按本办法执行的将视情节轻重，对财务负责人、企业负责人给予经济或行政处罚。</w:t>
      </w:r>
    </w:p>
    <w:p w:rsidR="00C8714B"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五、本规范经公司经理办公会通过后颁布执行。</w:t>
      </w:r>
    </w:p>
    <w:p w:rsidR="003A7BD8" w:rsidRPr="00C8714B" w:rsidRDefault="00C8714B" w:rsidP="001D5DBD">
      <w:pPr>
        <w:spacing w:line="560" w:lineRule="exact"/>
        <w:ind w:firstLineChars="200" w:firstLine="640"/>
        <w:rPr>
          <w:rFonts w:ascii="仿宋_GB2312" w:eastAsia="仿宋_GB2312"/>
          <w:sz w:val="32"/>
          <w:szCs w:val="32"/>
        </w:rPr>
      </w:pPr>
      <w:r w:rsidRPr="00C8714B">
        <w:rPr>
          <w:rFonts w:ascii="仿宋_GB2312" w:eastAsia="仿宋_GB2312" w:hint="eastAsia"/>
          <w:sz w:val="32"/>
          <w:szCs w:val="32"/>
        </w:rPr>
        <w:t>六、本办法解释权归股份公司财务部。</w:t>
      </w:r>
    </w:p>
    <w:p w:rsidR="003A7BD8" w:rsidRPr="00C8714B" w:rsidRDefault="003A7BD8" w:rsidP="001D5DBD">
      <w:pPr>
        <w:spacing w:line="560" w:lineRule="exact"/>
        <w:ind w:firstLineChars="200" w:firstLine="640"/>
        <w:rPr>
          <w:rFonts w:ascii="仿宋_GB2312" w:eastAsia="仿宋_GB2312"/>
          <w:sz w:val="32"/>
          <w:szCs w:val="32"/>
        </w:rPr>
      </w:pPr>
    </w:p>
    <w:p w:rsidR="003A7BD8" w:rsidRPr="00C8714B" w:rsidRDefault="003A7BD8" w:rsidP="001D5DBD">
      <w:pPr>
        <w:spacing w:line="560" w:lineRule="exact"/>
        <w:ind w:firstLineChars="200" w:firstLine="640"/>
        <w:rPr>
          <w:rFonts w:ascii="仿宋_GB2312" w:eastAsia="仿宋_GB2312"/>
          <w:sz w:val="32"/>
          <w:szCs w:val="32"/>
        </w:rPr>
      </w:pPr>
    </w:p>
    <w:p w:rsidR="003A7BD8" w:rsidRPr="00C8714B" w:rsidRDefault="003A7BD8" w:rsidP="001D5DBD">
      <w:pPr>
        <w:spacing w:line="560" w:lineRule="exact"/>
        <w:ind w:firstLineChars="200" w:firstLine="640"/>
        <w:rPr>
          <w:rFonts w:ascii="仿宋_GB2312" w:eastAsia="仿宋_GB2312"/>
          <w:sz w:val="32"/>
          <w:szCs w:val="32"/>
        </w:rPr>
      </w:pPr>
    </w:p>
    <w:p w:rsidR="003A7BD8" w:rsidRPr="00C8714B" w:rsidRDefault="003A7BD8" w:rsidP="001D5DBD">
      <w:pPr>
        <w:spacing w:line="560" w:lineRule="exact"/>
        <w:ind w:firstLineChars="200" w:firstLine="640"/>
        <w:rPr>
          <w:rFonts w:ascii="仿宋_GB2312" w:eastAsia="仿宋_GB2312"/>
          <w:sz w:val="32"/>
          <w:szCs w:val="32"/>
        </w:rPr>
      </w:pPr>
    </w:p>
    <w:sectPr w:rsidR="003A7BD8" w:rsidRPr="00C871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B95" w:rsidRDefault="00F33B95" w:rsidP="00233AA3">
      <w:r>
        <w:separator/>
      </w:r>
    </w:p>
  </w:endnote>
  <w:endnote w:type="continuationSeparator" w:id="0">
    <w:p w:rsidR="00F33B95" w:rsidRDefault="00F33B95" w:rsidP="00233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B95" w:rsidRDefault="00F33B95" w:rsidP="00233AA3">
      <w:r>
        <w:separator/>
      </w:r>
    </w:p>
  </w:footnote>
  <w:footnote w:type="continuationSeparator" w:id="0">
    <w:p w:rsidR="00F33B95" w:rsidRDefault="00F33B95" w:rsidP="00233A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BD8"/>
    <w:rsid w:val="0002787A"/>
    <w:rsid w:val="001D5DBD"/>
    <w:rsid w:val="001E7445"/>
    <w:rsid w:val="00233AA3"/>
    <w:rsid w:val="00364461"/>
    <w:rsid w:val="003A7BD8"/>
    <w:rsid w:val="00695A5D"/>
    <w:rsid w:val="006E7086"/>
    <w:rsid w:val="007425A5"/>
    <w:rsid w:val="00A41D16"/>
    <w:rsid w:val="00C8714B"/>
    <w:rsid w:val="00CD5467"/>
    <w:rsid w:val="00F33B95"/>
    <w:rsid w:val="00FB2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C5E01"/>
  <w15:chartTrackingRefBased/>
  <w15:docId w15:val="{A136C60A-F51A-4FDF-A450-F3D7FDF5D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3AA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33AA3"/>
    <w:rPr>
      <w:sz w:val="18"/>
      <w:szCs w:val="18"/>
    </w:rPr>
  </w:style>
  <w:style w:type="paragraph" w:styleId="a5">
    <w:name w:val="footer"/>
    <w:basedOn w:val="a"/>
    <w:link w:val="a6"/>
    <w:uiPriority w:val="99"/>
    <w:unhideWhenUsed/>
    <w:rsid w:val="00233AA3"/>
    <w:pPr>
      <w:tabs>
        <w:tab w:val="center" w:pos="4153"/>
        <w:tab w:val="right" w:pos="8306"/>
      </w:tabs>
      <w:snapToGrid w:val="0"/>
      <w:jc w:val="left"/>
    </w:pPr>
    <w:rPr>
      <w:sz w:val="18"/>
      <w:szCs w:val="18"/>
    </w:rPr>
  </w:style>
  <w:style w:type="character" w:customStyle="1" w:styleId="a6">
    <w:name w:val="页脚 字符"/>
    <w:basedOn w:val="a0"/>
    <w:link w:val="a5"/>
    <w:uiPriority w:val="99"/>
    <w:rsid w:val="00233A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7</Pages>
  <Words>572</Words>
  <Characters>3261</Characters>
  <Application>Microsoft Office Word</Application>
  <DocSecurity>0</DocSecurity>
  <Lines>27</Lines>
  <Paragraphs>7</Paragraphs>
  <ScaleCrop>false</ScaleCrop>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12</cp:revision>
  <dcterms:created xsi:type="dcterms:W3CDTF">2019-01-15T03:23:00Z</dcterms:created>
  <dcterms:modified xsi:type="dcterms:W3CDTF">2019-06-17T08:58:00Z</dcterms:modified>
</cp:coreProperties>
</file>