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7F3C" w:rsidRPr="00DA7F3C" w:rsidRDefault="00DA7F3C" w:rsidP="00DA7F3C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DA7F3C">
        <w:rPr>
          <w:rFonts w:ascii="方正小标宋简体" w:eastAsia="方正小标宋简体" w:hint="eastAsia"/>
          <w:sz w:val="44"/>
          <w:szCs w:val="44"/>
        </w:rPr>
        <w:t>财务费用支出管理办法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为健全和完善公司财务费用支出管理，规范和加强财务报销行为，提高办事效率，根据国家有关财务规定，结合公司实际情况，制定本办法。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一、管理原则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1.“统一领导、分级管理”原则：由公司总经理对财务工作负责。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2.事前预算原则：坚持财务开支预算管理原则，本着提高效益、统筹兼顾、保证重点</w:t>
      </w:r>
      <w:r w:rsidR="004A041C">
        <w:rPr>
          <w:rFonts w:ascii="仿宋_GB2312" w:eastAsia="仿宋_GB2312" w:hint="eastAsia"/>
          <w:sz w:val="32"/>
          <w:szCs w:val="32"/>
        </w:rPr>
        <w:t>及</w:t>
      </w:r>
      <w:r w:rsidRPr="00DA7F3C">
        <w:rPr>
          <w:rFonts w:ascii="仿宋_GB2312" w:eastAsia="仿宋_GB2312" w:hint="eastAsia"/>
          <w:sz w:val="32"/>
          <w:szCs w:val="32"/>
        </w:rPr>
        <w:t>勤俭节约等原则，预算财务收支计划，并报公司总经理审批。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3.授权有限原则：各项财务支出应按照责任与权限分级管理的要求，设定财务费用支出事项的有权签字人，并在授权范围内行使职责，超出范围和权限的签字视为无效。专项活动经费及大额费用支出向董事会申报。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二、财务费用开支管理权限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公司费用报销实行有权签字人审批制度，有权签字人为总经理及副经理。所有费用使用经由总经理初审确认，对费用使用是否合理、是否控制在规定标准之内负责。权限的设置为总经理的审批权限为××元，副经理的审批权限为××元。各经办人应对本人签字报销的费用开支真实性负责。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三、财务开支报销规则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1.费用报销必须填写费用报销审批单。经办人在原始票据上签字，对原始票据来源的真实性和合法性负责；总经理审核费用支出是否在预算范围内，票据是否合</w:t>
      </w:r>
      <w:proofErr w:type="gramStart"/>
      <w:r w:rsidRPr="00DA7F3C">
        <w:rPr>
          <w:rFonts w:ascii="仿宋_GB2312" w:eastAsia="仿宋_GB2312" w:hint="eastAsia"/>
          <w:sz w:val="32"/>
          <w:szCs w:val="32"/>
        </w:rPr>
        <w:t>规</w:t>
      </w:r>
      <w:proofErr w:type="gramEnd"/>
      <w:r w:rsidRPr="00DA7F3C">
        <w:rPr>
          <w:rFonts w:ascii="仿宋_GB2312" w:eastAsia="仿宋_GB2312" w:hint="eastAsia"/>
          <w:sz w:val="32"/>
          <w:szCs w:val="32"/>
        </w:rPr>
        <w:t>。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lastRenderedPageBreak/>
        <w:t>2.要严格控制业务招待费开支，外来人员需要招待时，经总经理批准后，负责安排人员并结算费用。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3.借款规定：因公购买物品或出差所需现金原则上由个人垫支，财务不予借款。数额较大时，经业务经理签字审批后，方能办理借款手续。借款须及时到会计处报销结清，</w:t>
      </w:r>
      <w:proofErr w:type="gramStart"/>
      <w:r w:rsidRPr="00DA7F3C">
        <w:rPr>
          <w:rFonts w:ascii="仿宋_GB2312" w:eastAsia="仿宋_GB2312" w:hint="eastAsia"/>
          <w:sz w:val="32"/>
          <w:szCs w:val="32"/>
        </w:rPr>
        <w:t>前账不清</w:t>
      </w:r>
      <w:proofErr w:type="gramEnd"/>
      <w:r w:rsidRPr="00DA7F3C">
        <w:rPr>
          <w:rFonts w:ascii="仿宋_GB2312" w:eastAsia="仿宋_GB2312" w:hint="eastAsia"/>
          <w:sz w:val="32"/>
          <w:szCs w:val="32"/>
        </w:rPr>
        <w:t>，不再办理借款手续</w:t>
      </w:r>
      <w:r w:rsidR="004A041C">
        <w:rPr>
          <w:rFonts w:ascii="仿宋_GB2312" w:eastAsia="仿宋_GB2312" w:hint="eastAsia"/>
          <w:sz w:val="32"/>
          <w:szCs w:val="32"/>
        </w:rPr>
        <w:t>；</w:t>
      </w:r>
      <w:r w:rsidRPr="00DA7F3C">
        <w:rPr>
          <w:rFonts w:ascii="仿宋_GB2312" w:eastAsia="仿宋_GB2312" w:hint="eastAsia"/>
          <w:sz w:val="32"/>
          <w:szCs w:val="32"/>
        </w:rPr>
        <w:t>逾期仍未结清者，会计从本人下月工资中如数扣回。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四、财务费用开支报销要求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1.财务支出报销时应按上述要求填制费用报销审批单，将发票及相关报销凭证整齐粘贴在后，并将附件张数和金额填上，不得有漏填、少填现象。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2.财务支出报销无正规发票的，必须有两人以上经办并签字，注明用途原因，一人经办的不予报销。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五、内部控制要点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1.不相容岗位相互分离：授权批准、业务经办、会计记录、财产保管等岗位属于不相容岗位，不得由一人兼任；出纳人员不得兼任对账、档案保管和收入、支出、费用、债权债务的登记工作。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2.印章管理：财务印章实行“专人使用、专人保管、专人负责”，建立印章登记簿；财务印章必须在保险箱保存，</w:t>
      </w:r>
      <w:proofErr w:type="gramStart"/>
      <w:r w:rsidRPr="00DA7F3C">
        <w:rPr>
          <w:rFonts w:ascii="仿宋_GB2312" w:eastAsia="仿宋_GB2312" w:hint="eastAsia"/>
          <w:sz w:val="32"/>
          <w:szCs w:val="32"/>
        </w:rPr>
        <w:t>人离章锁</w:t>
      </w:r>
      <w:proofErr w:type="gramEnd"/>
      <w:r w:rsidRPr="00DA7F3C">
        <w:rPr>
          <w:rFonts w:ascii="仿宋_GB2312" w:eastAsia="仿宋_GB2312" w:hint="eastAsia"/>
          <w:sz w:val="32"/>
          <w:szCs w:val="32"/>
        </w:rPr>
        <w:t>；严格控制印章使用范围；严禁在空白凭证或</w:t>
      </w:r>
      <w:proofErr w:type="gramStart"/>
      <w:r w:rsidRPr="00DA7F3C">
        <w:rPr>
          <w:rFonts w:ascii="仿宋_GB2312" w:eastAsia="仿宋_GB2312" w:hint="eastAsia"/>
          <w:sz w:val="32"/>
          <w:szCs w:val="32"/>
        </w:rPr>
        <w:t>票据上预盖印</w:t>
      </w:r>
      <w:proofErr w:type="gramEnd"/>
      <w:r w:rsidRPr="00DA7F3C">
        <w:rPr>
          <w:rFonts w:ascii="仿宋_GB2312" w:eastAsia="仿宋_GB2312" w:hint="eastAsia"/>
          <w:sz w:val="32"/>
          <w:szCs w:val="32"/>
        </w:rPr>
        <w:t>章；财务专用章和私人名章应分开保管。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3.现金管理：加强现金库存限额管理，现金开支范围必须符合《现金管理暂行条例》的规定；大额库存现金应及时</w:t>
      </w:r>
      <w:r w:rsidRPr="00DA7F3C">
        <w:rPr>
          <w:rFonts w:ascii="仿宋_GB2312" w:eastAsia="仿宋_GB2312" w:hint="eastAsia"/>
          <w:sz w:val="32"/>
          <w:szCs w:val="32"/>
        </w:rPr>
        <w:lastRenderedPageBreak/>
        <w:t>缴存银行，少量库存现金必须入箱（保险箱）保管，每日必须</w:t>
      </w:r>
      <w:bookmarkStart w:id="0" w:name="_GoBack"/>
      <w:r w:rsidRPr="00DA7F3C">
        <w:rPr>
          <w:rFonts w:ascii="仿宋_GB2312" w:eastAsia="仿宋_GB2312" w:hint="eastAsia"/>
          <w:sz w:val="32"/>
          <w:szCs w:val="32"/>
        </w:rPr>
        <w:t>轧</w:t>
      </w:r>
      <w:bookmarkEnd w:id="0"/>
      <w:r w:rsidRPr="00DA7F3C">
        <w:rPr>
          <w:rFonts w:ascii="仿宋_GB2312" w:eastAsia="仿宋_GB2312" w:hint="eastAsia"/>
          <w:sz w:val="32"/>
          <w:szCs w:val="32"/>
        </w:rPr>
        <w:t>账，确保账实相符；综合财务部主管应定期或不定期查库。</w:t>
      </w:r>
    </w:p>
    <w:p w:rsidR="00DA7F3C" w:rsidRPr="00DA7F3C" w:rsidRDefault="00DA7F3C" w:rsidP="00DA7F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7F3C">
        <w:rPr>
          <w:rFonts w:ascii="仿宋_GB2312" w:eastAsia="仿宋_GB2312" w:hint="eastAsia"/>
          <w:sz w:val="32"/>
          <w:szCs w:val="32"/>
        </w:rPr>
        <w:t>4.账户管理：公司存款账户必须日清月结；对账人员按月编制“银行存款余额调节表”，落实未达款项的内容和原因，及时妥善处理。</w:t>
      </w:r>
    </w:p>
    <w:sectPr w:rsidR="00DA7F3C" w:rsidRPr="00DA7F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F3C"/>
    <w:rsid w:val="004A041C"/>
    <w:rsid w:val="00DA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9AD7C"/>
  <w15:chartTrackingRefBased/>
  <w15:docId w15:val="{55F18649-EC85-4444-9AEE-9FB0AB5E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2019-02-14T07:07:00Z</dcterms:created>
  <dcterms:modified xsi:type="dcterms:W3CDTF">2019-05-19T07:43:00Z</dcterms:modified>
</cp:coreProperties>
</file>