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34D" w:rsidRPr="0030606E" w:rsidRDefault="003E634D" w:rsidP="0030606E">
      <w:pPr>
        <w:pStyle w:val="a3"/>
        <w:spacing w:before="0" w:afterLines="100" w:after="312" w:line="560" w:lineRule="exact"/>
        <w:jc w:val="center"/>
        <w:rPr>
          <w:rFonts w:ascii="方正小标宋简体" w:eastAsia="方正小标宋简体"/>
          <w:sz w:val="44"/>
          <w:szCs w:val="44"/>
        </w:rPr>
      </w:pPr>
      <w:r w:rsidRPr="0030606E">
        <w:rPr>
          <w:rFonts w:ascii="方正小标宋简体" w:eastAsia="方正小标宋简体" w:hint="eastAsia"/>
          <w:sz w:val="44"/>
          <w:szCs w:val="44"/>
        </w:rPr>
        <w:t>集团税务筹划管理制度</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第一章  总则</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第一条  为加强集团（以下简称集团）税务筹划的管理工作，在税法的范围内，尽可能地获得“节税”的税收利益，有效避免集团涉税风险，制定本管理制度。</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第二条  建立本制度的目标：在税法规定的范围内，通过对经营、投资、理财等活动的事先筹划和安排，尽可能地获得“节税”的税收利益，规避企业的涉税风险，维护企业合法权益。</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第三条  本制度适用于集团总部及下属公司。</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第二章  税务筹划</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第四条  熟练把握有关法律规定和法律的执行。</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1.理解法律规定的精神。理解法律精神，掌握政策尺度，在着手进行纳税筹划之前，首先应当学习和掌握国家税法精神，争取税务机关的帮助与合作。</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2.了解法律和国家机关对纳税活动“合法和合理”的界定。法律条文的权威性不容置疑，但就中国的税法执法环境来看，法律规定在操作性上也有某些欠缺，税务机关存在相当大的“自由量裁权”，所以必须熟悉税法的执法环境，必须与税务机关做好相当充分的沟通工作。</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第五条  制定纳税筹划草案。</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1.分析业务背景。分析项目所处的行业，从事业务按法律规定应该缴纳哪种税，是否享受税收优惠待遇。根据</w:t>
      </w:r>
      <w:r w:rsidRPr="003E634D">
        <w:rPr>
          <w:rFonts w:ascii="仿宋_GB2312" w:eastAsia="仿宋_GB2312" w:hint="eastAsia"/>
          <w:sz w:val="32"/>
          <w:szCs w:val="32"/>
        </w:rPr>
        <w:lastRenderedPageBreak/>
        <w:t>项目的收支渠道确定可以节税的各种方法。</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2.进行法律可行性分析。在制定节税方案的同时，汇集纳税涉及的可依据的法律、法规、政策，避免陷入法律纠纷。在具体问题把握不准的情况下，可以就具体问题咨询征收机关的意见。</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3.应纳税额的计算。不同的纳税方案制定出来以后，分别计算出应纳税额</w:t>
      </w:r>
      <w:r w:rsidR="00623050">
        <w:rPr>
          <w:rFonts w:ascii="仿宋_GB2312" w:eastAsia="仿宋_GB2312" w:hint="eastAsia"/>
          <w:sz w:val="32"/>
          <w:szCs w:val="32"/>
        </w:rPr>
        <w:t>，</w:t>
      </w:r>
      <w:r w:rsidRPr="003E634D">
        <w:rPr>
          <w:rFonts w:ascii="仿宋_GB2312" w:eastAsia="仿宋_GB2312" w:hint="eastAsia"/>
          <w:sz w:val="32"/>
          <w:szCs w:val="32"/>
        </w:rPr>
        <w:t>同时应</w:t>
      </w:r>
      <w:r w:rsidR="00170ADF">
        <w:rPr>
          <w:rFonts w:ascii="仿宋_GB2312" w:eastAsia="仿宋_GB2312" w:hint="eastAsia"/>
          <w:sz w:val="32"/>
          <w:szCs w:val="32"/>
        </w:rPr>
        <w:t>做出</w:t>
      </w:r>
      <w:r w:rsidRPr="003E634D">
        <w:rPr>
          <w:rFonts w:ascii="仿宋_GB2312" w:eastAsia="仿宋_GB2312" w:hint="eastAsia"/>
          <w:sz w:val="32"/>
          <w:szCs w:val="32"/>
        </w:rPr>
        <w:t>会计处理的方法。</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4.各因素变动分析。对影响节税效果的那些相互影响的内部因素将来可能会发生的变动进行分析，以防止因内部因素变动产生的风险。</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5.敏感分析。对影响税务计划实施的外部条件可能发生变化而引起税收筹划节税效果变化的敏感程度进行分析，以防止因外部因素变化产生的风险。</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第六条  纳税筹划方案的选择和实施。</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根据具体情况，可能会有可供选择的几个方案出现，各个方案又各有优劣，应当根据管理决策层的偏好最终选择</w:t>
      </w:r>
      <w:r w:rsidR="00175628">
        <w:rPr>
          <w:rFonts w:ascii="仿宋_GB2312" w:eastAsia="仿宋_GB2312" w:hint="eastAsia"/>
          <w:sz w:val="32"/>
          <w:szCs w:val="32"/>
        </w:rPr>
        <w:t>。</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1.选择短期内节俭税收更多的或在比较长的一个时间段内股东可得到更大财务利益的纳税筹划方案。</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2.选择成本更低或成本可能稍高</w:t>
      </w:r>
      <w:r w:rsidR="00175628">
        <w:rPr>
          <w:rFonts w:ascii="仿宋_GB2312" w:eastAsia="仿宋_GB2312" w:hint="eastAsia"/>
          <w:sz w:val="32"/>
          <w:szCs w:val="32"/>
        </w:rPr>
        <w:t>但</w:t>
      </w:r>
      <w:r w:rsidRPr="003E634D">
        <w:rPr>
          <w:rFonts w:ascii="仿宋_GB2312" w:eastAsia="仿宋_GB2312" w:hint="eastAsia"/>
          <w:sz w:val="32"/>
          <w:szCs w:val="32"/>
        </w:rPr>
        <w:t>节税效果更好的税务计划。</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3. 选择实施起来更便利或技术较复杂风险也较小的方案。</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第七条  控制纳税筹划方案的运行。税务计划实施</w:t>
      </w:r>
      <w:r w:rsidRPr="003E634D">
        <w:rPr>
          <w:rFonts w:ascii="仿宋_GB2312" w:eastAsia="仿宋_GB2312" w:hint="eastAsia"/>
          <w:sz w:val="32"/>
          <w:szCs w:val="32"/>
        </w:rPr>
        <w:lastRenderedPageBreak/>
        <w:t>后，应当跟踪纳税方案执行的情况，以确保纳税筹划方案的贯彻执行。当经营中出现新的变化时，应当判断是否改变纳税筹划计划。</w:t>
      </w:r>
    </w:p>
    <w:p w:rsidR="003E634D" w:rsidRPr="003E634D" w:rsidRDefault="003E634D" w:rsidP="003E634D">
      <w:pPr>
        <w:pStyle w:val="a3"/>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第三章  附则</w:t>
      </w:r>
    </w:p>
    <w:p w:rsidR="003E634D" w:rsidRPr="003E634D" w:rsidRDefault="003E634D" w:rsidP="003E634D">
      <w:pPr>
        <w:spacing w:line="560" w:lineRule="exact"/>
        <w:ind w:firstLineChars="200" w:firstLine="640"/>
        <w:rPr>
          <w:rFonts w:ascii="仿宋_GB2312" w:eastAsia="仿宋_GB2312"/>
          <w:sz w:val="32"/>
          <w:szCs w:val="32"/>
        </w:rPr>
      </w:pPr>
      <w:r w:rsidRPr="003E634D">
        <w:rPr>
          <w:rFonts w:ascii="仿宋_GB2312" w:eastAsia="仿宋_GB2312" w:hint="eastAsia"/>
          <w:sz w:val="32"/>
          <w:szCs w:val="32"/>
        </w:rPr>
        <w:t>第八条  本制度由集团财务</w:t>
      </w:r>
      <w:bookmarkStart w:id="0" w:name="_GoBack"/>
      <w:bookmarkEnd w:id="0"/>
      <w:r w:rsidRPr="003E634D">
        <w:rPr>
          <w:rFonts w:ascii="仿宋_GB2312" w:eastAsia="仿宋_GB2312" w:hint="eastAsia"/>
          <w:sz w:val="32"/>
          <w:szCs w:val="32"/>
        </w:rPr>
        <w:t>部负责修订和解释。</w:t>
      </w:r>
    </w:p>
    <w:sectPr w:rsidR="003E634D" w:rsidRPr="003E63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34D"/>
    <w:rsid w:val="00170ADF"/>
    <w:rsid w:val="00175628"/>
    <w:rsid w:val="0030606E"/>
    <w:rsid w:val="003E634D"/>
    <w:rsid w:val="00623050"/>
    <w:rsid w:val="00837134"/>
    <w:rsid w:val="00BE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3FED9"/>
  <w15:chartTrackingRefBased/>
  <w15:docId w15:val="{BC52F7B4-DC19-4D07-802A-2F5A5602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3E634D"/>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E8926-F15E-4952-95C1-A05D1F8F1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7</cp:revision>
  <dcterms:created xsi:type="dcterms:W3CDTF">2019-04-03T06:38:00Z</dcterms:created>
  <dcterms:modified xsi:type="dcterms:W3CDTF">2019-06-19T08:39:00Z</dcterms:modified>
</cp:coreProperties>
</file>