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6BE" w:rsidRPr="00F55620" w:rsidRDefault="002F46BE" w:rsidP="00F55620">
      <w:pPr>
        <w:spacing w:afterLines="100" w:after="312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F55620">
        <w:rPr>
          <w:rFonts w:ascii="方正小标宋简体" w:eastAsia="方正小标宋简体" w:hint="eastAsia"/>
          <w:sz w:val="44"/>
          <w:szCs w:val="44"/>
        </w:rPr>
        <w:t>无形资产使用管理制度</w:t>
      </w:r>
    </w:p>
    <w:p w:rsidR="002F46BE" w:rsidRPr="002F46BE" w:rsidRDefault="002F46BE" w:rsidP="00F55620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第一章  总则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第一条  为规范无形资产管理，提高企业无形资产竞争的能力和水平，保证企业无形资产的安全与完整，特制定本制度。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第二条  本制度适用于企业拥有的专利权、非专利技术、商标权、著作权、特许权</w:t>
      </w:r>
      <w:r w:rsidR="008011F6">
        <w:rPr>
          <w:rFonts w:ascii="仿宋_GB2312" w:eastAsia="仿宋_GB2312" w:hint="eastAsia"/>
          <w:sz w:val="32"/>
          <w:szCs w:val="32"/>
        </w:rPr>
        <w:t>和</w:t>
      </w:r>
      <w:r w:rsidRPr="002F46BE">
        <w:rPr>
          <w:rFonts w:ascii="仿宋_GB2312" w:eastAsia="仿宋_GB2312" w:hint="eastAsia"/>
          <w:sz w:val="32"/>
          <w:szCs w:val="32"/>
        </w:rPr>
        <w:t>土地使用权等无形资产的日常使用管理。</w:t>
      </w:r>
    </w:p>
    <w:p w:rsidR="002F46BE" w:rsidRPr="002F46BE" w:rsidRDefault="002F46BE" w:rsidP="00245EF0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第二章  无形资产使用与监督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第三条  凡使用本制度规定的上述无形资产的，必须向资产管理部（或无形资产管理机构）提出申请，按照相关的授权审批程序，经审批通过并签署有关协议后方可使用。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第四条  企业资产管理部（或无形资产管理机构）在收到使用单位或部门的申请后，与归口管理部及其他相关部门共同对申请进行查证，并提出审核意见，审核后报总经理审批。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第五条  通过审批的单位或部门持审批后的申请书到资产管理部（或无形资产管理机构）签订使用或保密等相关协议，没有通过审批的则返还申请资料。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第六条  企业资产管理部（或无形资产管理机构）会同财务部等相关部门在协商的基础上，共同确定关于无形资产使用的收费标准，对无形资产使用单位或部门征收合理的费用。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第七条  本企业特许其他单位使用本制度规定的上述</w:t>
      </w:r>
      <w:r w:rsidRPr="002F46BE">
        <w:rPr>
          <w:rFonts w:ascii="仿宋_GB2312" w:eastAsia="仿宋_GB2312" w:hint="eastAsia"/>
          <w:sz w:val="32"/>
          <w:szCs w:val="32"/>
        </w:rPr>
        <w:lastRenderedPageBreak/>
        <w:t>无形资产，由资产管理部（或无形资产管理机构）会同财务部拟定方案，按相应的授权审批程序，经授权人员批准后办理相关手续，签订合同。合同应明确无形资产特许使用期间的权利和义务。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第八条  资产管理部（或无形资产管理机构）按照企业有关部门规定的时间和要求，编制企业《无形资产汇总表》及分析说明，向本企业领导报告，为制定企业发展规划及编制企业财务预算提供决策依据。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第九条  对于长期闲置的无形资产，应及时合理调配，充分提高其利用率，盘活其存量，发挥其最大效益。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第十条  企业所有部门、员工都有权利和义务监督企业无形资产的使用及管理情况，依法维护本企业无形资产的安全与完整。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第十一条  各级归口管理部门在管理中有下列行为之一的，企业责令其改正，并对主管部门的领导和直接责任人追究责任。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1.未履行其职责、对本单位所管辖的资产造成严重流失、损失或浪费而不反映、不报告、不提出建议</w:t>
      </w:r>
      <w:r w:rsidR="008011F6">
        <w:rPr>
          <w:rFonts w:ascii="仿宋_GB2312" w:eastAsia="仿宋_GB2312" w:hint="eastAsia"/>
          <w:sz w:val="32"/>
          <w:szCs w:val="32"/>
        </w:rPr>
        <w:t>以及</w:t>
      </w:r>
      <w:bookmarkStart w:id="0" w:name="_GoBack"/>
      <w:bookmarkEnd w:id="0"/>
      <w:r w:rsidRPr="002F46BE">
        <w:rPr>
          <w:rFonts w:ascii="仿宋_GB2312" w:eastAsia="仿宋_GB2312" w:hint="eastAsia"/>
          <w:sz w:val="32"/>
          <w:szCs w:val="32"/>
        </w:rPr>
        <w:t>不采取相应管理措施的。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2.在无形资产管理工作中，未按有关法律、法规办事，滥用职权、擅自批准产权变动，造成严重后果的。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第十二条  无形资产使用单位有下列行为之一的，资产管理部（或无形资产管理机构）有权责令其改正，并请示相关领导，依法追究主管领导和直接责任人员的责任。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lastRenderedPageBreak/>
        <w:t>1.</w:t>
      </w:r>
      <w:proofErr w:type="gramStart"/>
      <w:r w:rsidRPr="002F46BE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F46BE">
        <w:rPr>
          <w:rFonts w:ascii="仿宋_GB2312" w:eastAsia="仿宋_GB2312" w:hint="eastAsia"/>
          <w:sz w:val="32"/>
          <w:szCs w:val="32"/>
        </w:rPr>
        <w:t>如实进行产权登记、填报无形资产统计报表，隐瞒真实情况者。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2.未按职责要求工作，致使本企业无形资产管理不善，造成重大损失的。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3.对用于经营投资的资产不认真进行监督管理，不履行投资者权益、收缴财产收益的。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4.未履行职责，放松无形资产管理，造成严重后果的。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5.不按规定权限使用无形资产的。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6.擅自将无形资产转让、处置和用于经营投资的。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第十三条  在无形资产的管理过程中，对取得下列成绩之一的部门和个人，给予表彰和奖励。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1.积极开展无形资产管理工作，为企业创造较大效益者。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2.在无形资产管理中有创新，运用和推广现代技术并取得显著效果者。</w:t>
      </w:r>
    </w:p>
    <w:p w:rsidR="002F46BE" w:rsidRPr="002F46BE" w:rsidRDefault="002F46BE" w:rsidP="00245EF0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第三章  相关账务管理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第十四条  企业应当定期或至少于每年年末由资产管理部（或无形资产管理机构）和财务部对无形资产进行检查、分析，预计其给企业带来未来经济利益的能力。具体工作如下。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1.定期核对无形资产明细账与总账。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2.对账目差异进行及时分析与调整。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第十五条  无形资产存在减值迹象的，应计算其可收回金额；可收回金额低于账面价值的，应按照国家统一的会计准则制度的规定计提减值准备、确认减值损失。</w:t>
      </w:r>
    </w:p>
    <w:p w:rsidR="002F46BE" w:rsidRPr="002F46BE" w:rsidRDefault="002F46BE" w:rsidP="00245EF0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lastRenderedPageBreak/>
        <w:t>第四章  附则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第十六条  本制度由资产管理部负责制定和解释，其账务管理内容由财务部解释。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第十七条  本制度报总经理办公会审议签批。</w:t>
      </w:r>
    </w:p>
    <w:p w:rsidR="002F46BE" w:rsidRPr="002F46BE" w:rsidRDefault="002F46BE" w:rsidP="00245EF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F46BE">
        <w:rPr>
          <w:rFonts w:ascii="仿宋_GB2312" w:eastAsia="仿宋_GB2312" w:hint="eastAsia"/>
          <w:sz w:val="32"/>
          <w:szCs w:val="32"/>
        </w:rPr>
        <w:t>第十八条  本制度自发布之日起执行。</w:t>
      </w:r>
    </w:p>
    <w:sectPr w:rsidR="002F46BE" w:rsidRPr="002F4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BE"/>
    <w:rsid w:val="001E1BE1"/>
    <w:rsid w:val="00245EF0"/>
    <w:rsid w:val="002F46BE"/>
    <w:rsid w:val="008011F6"/>
    <w:rsid w:val="0085152A"/>
    <w:rsid w:val="00F5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7FD7"/>
  <w15:chartTrackingRefBased/>
  <w15:docId w15:val="{433FBFD7-60BA-4A39-9DCF-3FF715F98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2019-01-31T07:54:00Z</dcterms:created>
  <dcterms:modified xsi:type="dcterms:W3CDTF">2019-05-19T07:28:00Z</dcterms:modified>
</cp:coreProperties>
</file>