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6752" w:rsidRPr="009339D6" w:rsidRDefault="00D96752" w:rsidP="009339D6">
      <w:pPr>
        <w:pStyle w:val="a3"/>
        <w:spacing w:before="0" w:afterLines="100" w:after="312" w:line="560" w:lineRule="exact"/>
        <w:jc w:val="center"/>
        <w:rPr>
          <w:rFonts w:ascii="方正小标宋简体" w:eastAsia="方正小标宋简体"/>
          <w:sz w:val="44"/>
          <w:szCs w:val="44"/>
        </w:rPr>
      </w:pPr>
      <w:bookmarkStart w:id="0" w:name="_GoBack"/>
      <w:bookmarkEnd w:id="0"/>
      <w:r w:rsidRPr="009339D6">
        <w:rPr>
          <w:rFonts w:ascii="方正小标宋简体" w:eastAsia="方正小标宋简体" w:hint="eastAsia"/>
          <w:sz w:val="44"/>
          <w:szCs w:val="44"/>
        </w:rPr>
        <w:t>增值税税务筹划管理制度</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t>第一条  为规范公司的税务筹划工作，在遵守国家税收法规的前提下，降低公司经营成本，减轻公司的税收负担，维护公司的合法权益，特制定本制度。</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t>第二条  税务筹划是指公司为达到减轻税收负担和降低税收风险的目的，在税法所允许的范围内对公司所有工程施工项目进行事先安排的过程。</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t>第三条  公司财务部是税务筹划的组织者，财务总监负责公司税务筹划工作，税务主管为筹划工作的具体执行者，公司其他相关部门给予配合和支持。</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t>第四条  公司聘请的税务师事务所为公司的税务筹划提供技术支持，公司应充分利用税务师事务所的资源。</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t>第五条  税务筹划的内容主要为增值税，同时印花税也受合同签订形式的影响需进行税务筹划。</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t>第六条  增值税销项税务内容</w:t>
      </w:r>
      <w:r w:rsidR="001B143C">
        <w:rPr>
          <w:rFonts w:ascii="仿宋_GB2312" w:eastAsia="仿宋_GB2312" w:hint="eastAsia"/>
          <w:sz w:val="32"/>
          <w:szCs w:val="32"/>
        </w:rPr>
        <w:t>。</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t>1.由于增值税属于价外税，实行价税分离，目前公司增值税税率为10%。公司在与甲方签订工程施工合同时必须注明是否含税价，相关部门要按不含税价来进行项目毛利</w:t>
      </w:r>
      <w:r w:rsidR="001B143C">
        <w:rPr>
          <w:rFonts w:ascii="仿宋_GB2312" w:eastAsia="仿宋_GB2312" w:hint="eastAsia"/>
          <w:sz w:val="32"/>
          <w:szCs w:val="32"/>
        </w:rPr>
        <w:t>润</w:t>
      </w:r>
      <w:r w:rsidRPr="009339D6">
        <w:rPr>
          <w:rFonts w:ascii="仿宋_GB2312" w:eastAsia="仿宋_GB2312" w:hint="eastAsia"/>
          <w:sz w:val="32"/>
          <w:szCs w:val="32"/>
        </w:rPr>
        <w:t>测算。同时印花税是按不含税作为基数缴纳，对含税价应分别注明价和税，否则需按含税价作为纳税基数。</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t>2.由于建筑业</w:t>
      </w:r>
      <w:proofErr w:type="gramStart"/>
      <w:r w:rsidRPr="009339D6">
        <w:rPr>
          <w:rFonts w:ascii="仿宋_GB2312" w:eastAsia="仿宋_GB2312" w:hint="eastAsia"/>
          <w:sz w:val="32"/>
          <w:szCs w:val="32"/>
        </w:rPr>
        <w:t>营改增</w:t>
      </w:r>
      <w:proofErr w:type="gramEnd"/>
      <w:r w:rsidRPr="009339D6">
        <w:rPr>
          <w:rFonts w:ascii="仿宋_GB2312" w:eastAsia="仿宋_GB2312" w:hint="eastAsia"/>
          <w:sz w:val="32"/>
          <w:szCs w:val="32"/>
        </w:rPr>
        <w:t>后，增值税税负较高，公司在承接项目时应与甲方沟通，尽可能地选择材料</w:t>
      </w:r>
      <w:proofErr w:type="gramStart"/>
      <w:r w:rsidRPr="009339D6">
        <w:rPr>
          <w:rFonts w:ascii="仿宋_GB2312" w:eastAsia="仿宋_GB2312" w:hint="eastAsia"/>
          <w:sz w:val="32"/>
          <w:szCs w:val="32"/>
        </w:rPr>
        <w:t>甲供或者清</w:t>
      </w:r>
      <w:proofErr w:type="gramEnd"/>
      <w:r w:rsidRPr="009339D6">
        <w:rPr>
          <w:rFonts w:ascii="仿宋_GB2312" w:eastAsia="仿宋_GB2312" w:hint="eastAsia"/>
          <w:sz w:val="32"/>
          <w:szCs w:val="32"/>
        </w:rPr>
        <w:t>包工，以便公司按照税法可以享受增值税简易计税方法计税，征收率为3%。</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lastRenderedPageBreak/>
        <w:t>3.公司投资的××公司一般要求实行材料“甲供”，但必须事先取得当地政府及税务部门的认可，并</w:t>
      </w:r>
      <w:proofErr w:type="gramStart"/>
      <w:r w:rsidRPr="009339D6">
        <w:rPr>
          <w:rFonts w:ascii="仿宋_GB2312" w:eastAsia="仿宋_GB2312" w:hint="eastAsia"/>
          <w:sz w:val="32"/>
          <w:szCs w:val="32"/>
        </w:rPr>
        <w:t>把甲供材料</w:t>
      </w:r>
      <w:proofErr w:type="gramEnd"/>
      <w:r w:rsidRPr="009339D6">
        <w:rPr>
          <w:rFonts w:ascii="仿宋_GB2312" w:eastAsia="仿宋_GB2312" w:hint="eastAsia"/>
          <w:sz w:val="32"/>
          <w:szCs w:val="32"/>
        </w:rPr>
        <w:t>写入施工合同中或签订补充合同。</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t>4.对于预收工程款，无特殊情况不得开具工程款增值税发票，只开具收款收据，除当月能取得足额的成本发票抵扣进项税额及公司急于收回工程款缓解资金压力的情况。</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t>第七条  增值税进项税务内容</w:t>
      </w:r>
      <w:r w:rsidR="001B143C">
        <w:rPr>
          <w:rFonts w:ascii="仿宋_GB2312" w:eastAsia="仿宋_GB2312" w:hint="eastAsia"/>
          <w:sz w:val="32"/>
          <w:szCs w:val="32"/>
        </w:rPr>
        <w:t>。</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t>1.对于甲供、清包工等使用简易计税的项目只需取得增值税普通发票，供应商应尽可能选择小规模纳税人供应商，</w:t>
      </w:r>
      <w:proofErr w:type="gramStart"/>
      <w:r w:rsidRPr="009339D6">
        <w:rPr>
          <w:rFonts w:ascii="仿宋_GB2312" w:eastAsia="仿宋_GB2312" w:hint="eastAsia"/>
          <w:sz w:val="32"/>
          <w:szCs w:val="32"/>
        </w:rPr>
        <w:t>取得低</w:t>
      </w:r>
      <w:proofErr w:type="gramEnd"/>
      <w:r w:rsidRPr="009339D6">
        <w:rPr>
          <w:rFonts w:ascii="仿宋_GB2312" w:eastAsia="仿宋_GB2312" w:hint="eastAsia"/>
          <w:sz w:val="32"/>
          <w:szCs w:val="32"/>
        </w:rPr>
        <w:t>税率的增值税发票；同时专业资质分包应取得工程款发票，以便公司进行分包抵扣。</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t>2.除简易计税项目外，其他项目的供应商应选择具有一般纳税人资格的供应商，取得增值税专用发票进行进项抵扣。</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t>3.公司在签订专业分包、采购合同时必须注明是否含税价，如含税价应分别列明价格和税额。同时在合同中必须约定分包供应商应按照所提供的材料、服务等及时足额提供增值税专用发票。</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t>4.分包供应商提供的发票必须按公司《发票管理办法》要求提供，以确保公司能够取得足额进项发票进行抵扣，以免公司只有销项税而</w:t>
      </w:r>
      <w:proofErr w:type="gramStart"/>
      <w:r w:rsidRPr="009339D6">
        <w:rPr>
          <w:rFonts w:ascii="仿宋_GB2312" w:eastAsia="仿宋_GB2312" w:hint="eastAsia"/>
          <w:sz w:val="32"/>
          <w:szCs w:val="32"/>
        </w:rPr>
        <w:t>无或者</w:t>
      </w:r>
      <w:proofErr w:type="gramEnd"/>
      <w:r w:rsidRPr="009339D6">
        <w:rPr>
          <w:rFonts w:ascii="仿宋_GB2312" w:eastAsia="仿宋_GB2312" w:hint="eastAsia"/>
          <w:sz w:val="32"/>
          <w:szCs w:val="32"/>
        </w:rPr>
        <w:t>少量的进项税，使公司承担额外的税负。</w:t>
      </w:r>
    </w:p>
    <w:p w:rsidR="00D96752" w:rsidRPr="009339D6" w:rsidRDefault="00D96752" w:rsidP="00C432D1">
      <w:pPr>
        <w:pStyle w:val="a3"/>
        <w:spacing w:line="560" w:lineRule="exact"/>
        <w:ind w:firstLineChars="200" w:firstLine="640"/>
        <w:jc w:val="both"/>
        <w:rPr>
          <w:rFonts w:ascii="仿宋_GB2312" w:eastAsia="仿宋_GB2312"/>
          <w:sz w:val="32"/>
          <w:szCs w:val="32"/>
        </w:rPr>
      </w:pPr>
      <w:r w:rsidRPr="009339D6">
        <w:rPr>
          <w:rFonts w:ascii="仿宋_GB2312" w:eastAsia="仿宋_GB2312" w:hint="eastAsia"/>
          <w:sz w:val="32"/>
          <w:szCs w:val="32"/>
        </w:rPr>
        <w:t>第八条  本规定为公司整体项目实施规定，不同的项目应根据各项目的实际情况单独进行税务筹划。</w:t>
      </w:r>
    </w:p>
    <w:p w:rsidR="00D96752" w:rsidRPr="009339D6" w:rsidRDefault="00D96752" w:rsidP="00C432D1">
      <w:pPr>
        <w:spacing w:line="560" w:lineRule="exact"/>
        <w:ind w:firstLineChars="200" w:firstLine="640"/>
        <w:rPr>
          <w:rFonts w:ascii="仿宋_GB2312" w:eastAsia="仿宋_GB2312"/>
          <w:sz w:val="32"/>
          <w:szCs w:val="32"/>
        </w:rPr>
      </w:pPr>
      <w:r w:rsidRPr="009339D6">
        <w:rPr>
          <w:rFonts w:ascii="仿宋_GB2312" w:eastAsia="仿宋_GB2312" w:hint="eastAsia"/>
          <w:sz w:val="32"/>
          <w:szCs w:val="32"/>
        </w:rPr>
        <w:t>第九条  本规定由财务部拟定，报公司批准后实行，其解释权、修改权归财务部。</w:t>
      </w:r>
    </w:p>
    <w:sectPr w:rsidR="00D96752" w:rsidRPr="009339D6" w:rsidSect="00D04939">
      <w:pgSz w:w="11906" w:h="16838"/>
      <w:pgMar w:top="1247" w:right="1797" w:bottom="1372"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752"/>
    <w:rsid w:val="001B143C"/>
    <w:rsid w:val="004C5594"/>
    <w:rsid w:val="009339D6"/>
    <w:rsid w:val="00C432D1"/>
    <w:rsid w:val="00D04939"/>
    <w:rsid w:val="00D663DE"/>
    <w:rsid w:val="00D9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74963"/>
  <w15:chartTrackingRefBased/>
  <w15:docId w15:val="{B3E4457E-9AA8-41E1-8024-F8988D55E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D96752"/>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161</Words>
  <Characters>924</Characters>
  <Application>Microsoft Office Word</Application>
  <DocSecurity>0</DocSecurity>
  <Lines>7</Lines>
  <Paragraphs>2</Paragraphs>
  <ScaleCrop>false</ScaleCrop>
  <Company/>
  <LinksUpToDate>false</LinksUpToDate>
  <CharactersWithSpaces>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6</cp:revision>
  <dcterms:created xsi:type="dcterms:W3CDTF">2019-04-03T08:33:00Z</dcterms:created>
  <dcterms:modified xsi:type="dcterms:W3CDTF">2019-06-19T08:40:00Z</dcterms:modified>
</cp:coreProperties>
</file>