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B69" w:rsidRPr="00AA7925" w:rsidRDefault="00F53B69" w:rsidP="00AA7925">
      <w:pPr>
        <w:spacing w:afterLines="100" w:after="312" w:line="560" w:lineRule="exact"/>
        <w:jc w:val="center"/>
        <w:rPr>
          <w:rFonts w:ascii="方正小标宋简体" w:eastAsia="方正小标宋简体"/>
          <w:sz w:val="44"/>
          <w:szCs w:val="44"/>
        </w:rPr>
      </w:pPr>
      <w:r w:rsidRPr="00AA7925">
        <w:rPr>
          <w:rFonts w:ascii="方正小标宋简体" w:eastAsia="方正小标宋简体" w:hint="eastAsia"/>
          <w:sz w:val="44"/>
          <w:szCs w:val="44"/>
        </w:rPr>
        <w:t>呆坏账管理办法</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一、目的</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为降低公司财务风险，提高业务人员的风险意识，同时规范销售货款回收，制定本办法。</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二、适用范围</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本办法适用于××有限公司各区域、各分公司及直营办事处呆坏账的管理。</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三、名词术语解释</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1.呆账，自发货之日起，超过6个月未收回的回款，公司视为呆账。</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2.坏账，以下两种情况公司认定为坏账：（1）因客户破产倒闭，无资产偿还的货款；（2）凡账龄超过12个月的货款，无论客户是否继续经营，均视为坏账。</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四、呆坏账处理</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1.自营销售员的客户呆坏账承担比例</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（1）自营销售员承担60%，连扣5个月，每个月扣除12%。</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（2）该销售员的销售经理承担10%，连扣5个月，每个月扣除2%。</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（3）该销售员的销售总监或副总经理承担10%，连扣5个月，每个月扣除2%。</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（4）剩余的20%计入各区域子公司团队风险金。</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（5）团队风险金按本部门实际销售额的0.3%计提。</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2.销售经理自营的客户呆坏账承担比例</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lastRenderedPageBreak/>
        <w:t>（1）销售经理承担60%，连扣5个月，每个月扣除12%。</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（2）该销售经理的销售总监或副总经理承担10% ，连扣5个月，每个月扣除2%。</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（3）剩余的30%计入各区域子公司团队风险金。</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（4）团队风险金按本部门实际销售额的0.3%计提。</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3.销售总监或副总经理的客户呆坏账承担比例</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（1）销售总监或副总经理承担30%，连扣5个月，每个月扣除6%。</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（2）剩余的70%计入各区域子公司团队风险金。</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（3）团队风险金按本部门实际销售额的0.3%计提。</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4.其他</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（1）在呆账期间，若呆账部分回款，对各人员应承担部分（呆账金额）继续按相应比例扣款，直至全部呆账款回收后才能将呆账回款减去催收费用后的剩余部分按比例退还给相关人员。</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（2）每笔坏账按制度处理完后，坏账金额可动用各责任人的个人</w:t>
      </w:r>
      <w:bookmarkStart w:id="0" w:name="_GoBack"/>
      <w:bookmarkEnd w:id="0"/>
      <w:r w:rsidRPr="00AA7925">
        <w:rPr>
          <w:rFonts w:ascii="仿宋_GB2312" w:eastAsia="仿宋_GB2312" w:hint="eastAsia"/>
          <w:sz w:val="32"/>
          <w:szCs w:val="32"/>
        </w:rPr>
        <w:t>奖金冲抵。</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五、其他规定</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1.本办法由综合管理室负责解释。</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2.公司有权补充、修改与完善本办法。</w:t>
      </w:r>
    </w:p>
    <w:p w:rsidR="00F53B69" w:rsidRPr="00AA7925" w:rsidRDefault="00F53B69" w:rsidP="001D49B4">
      <w:pPr>
        <w:spacing w:line="560" w:lineRule="exact"/>
        <w:ind w:firstLineChars="200" w:firstLine="640"/>
        <w:rPr>
          <w:rFonts w:ascii="仿宋_GB2312" w:eastAsia="仿宋_GB2312"/>
          <w:sz w:val="32"/>
          <w:szCs w:val="32"/>
        </w:rPr>
      </w:pPr>
      <w:r w:rsidRPr="00AA7925">
        <w:rPr>
          <w:rFonts w:ascii="仿宋_GB2312" w:eastAsia="仿宋_GB2312" w:hint="eastAsia"/>
          <w:sz w:val="32"/>
          <w:szCs w:val="32"/>
        </w:rPr>
        <w:t>3.本办法从××年×月×日起执行。</w:t>
      </w:r>
    </w:p>
    <w:sectPr w:rsidR="00F53B69" w:rsidRPr="00AA79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B69"/>
    <w:rsid w:val="001D49B4"/>
    <w:rsid w:val="001E09D9"/>
    <w:rsid w:val="0029323D"/>
    <w:rsid w:val="00AA7925"/>
    <w:rsid w:val="00E62972"/>
    <w:rsid w:val="00F1593E"/>
    <w:rsid w:val="00F53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5104B"/>
  <w15:chartTrackingRefBased/>
  <w15:docId w15:val="{EA53D6F5-D7F6-4A14-A89A-9F11F891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6</cp:revision>
  <dcterms:created xsi:type="dcterms:W3CDTF">2019-01-29T02:36:00Z</dcterms:created>
  <dcterms:modified xsi:type="dcterms:W3CDTF">2019-06-18T03:35:00Z</dcterms:modified>
</cp:coreProperties>
</file>