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A23" w:rsidRPr="00472A23" w:rsidRDefault="00472A23" w:rsidP="00472A23">
      <w:pPr>
        <w:pStyle w:val="a3"/>
        <w:spacing w:before="0" w:afterLines="100" w:after="312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472A23">
        <w:rPr>
          <w:rFonts w:ascii="方正小标宋简体" w:eastAsia="方正小标宋简体" w:hint="eastAsia"/>
          <w:sz w:val="44"/>
          <w:szCs w:val="44"/>
        </w:rPr>
        <w:t>全面预算监督管理办法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第一章  总则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第一条  全面预算是在预测与决策的基础上，将公司未来的销售、成本</w:t>
      </w:r>
      <w:r w:rsidR="00675F40">
        <w:rPr>
          <w:rFonts w:ascii="仿宋_GB2312" w:eastAsia="仿宋_GB2312" w:hint="eastAsia"/>
          <w:sz w:val="32"/>
          <w:szCs w:val="32"/>
        </w:rPr>
        <w:t>和</w:t>
      </w:r>
      <w:r w:rsidRPr="00472A23">
        <w:rPr>
          <w:rFonts w:ascii="仿宋_GB2312" w:eastAsia="仿宋_GB2312" w:hint="eastAsia"/>
          <w:sz w:val="32"/>
          <w:szCs w:val="32"/>
        </w:rPr>
        <w:t>现金流入与流出等以计划的形式具体、系统地反映出来，以便有效地组织与协调企业全部的经营活动，完成企业既定的目标。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第二条  预算监督针对的是预算的实际执行与操作阶段，也是预算管理的核心阶段</w:t>
      </w:r>
      <w:r w:rsidR="00675F40">
        <w:rPr>
          <w:rFonts w:ascii="仿宋_GB2312" w:eastAsia="仿宋_GB2312" w:hint="eastAsia"/>
          <w:sz w:val="32"/>
          <w:szCs w:val="32"/>
        </w:rPr>
        <w:t>。</w:t>
      </w:r>
      <w:r w:rsidRPr="00472A23">
        <w:rPr>
          <w:rFonts w:ascii="仿宋_GB2312" w:eastAsia="仿宋_GB2312" w:hint="eastAsia"/>
          <w:sz w:val="32"/>
          <w:szCs w:val="32"/>
        </w:rPr>
        <w:t>这一阶段连接着编制和考评，是向考核和评价提供依据的阶段。为确保预算监督的顺利实现，特制定本办法。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第三条  本办法所称预算监督是对预算的执行（包括预算的调整）进行检查和督促，掌握预算的执行（包括预算的调整）情况，确保预算按规定执行，达到预期目标。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第四条  本办法适用于公司各个部门。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第二章   组织机构与职责分工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第五条   总经理办公会是预算的决策机构，负责审定公司预算执行及其调整方案。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第六条  企划部是预算执行归口管理部门，全面负责预算执行和调整工作，各相关部门分工协作。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第七条  企划部主要履行以下职责：跟踪分析预算执行情况；协调预算编制和执行工作中的有关问题；必要时向总经理办公会提出预算调整建议，经批准后分解下达。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第八条   公司各部门是预算的相关责任部门，主要履行以下职责：配合财务部做好预算编制工作；对下达的预算</w:t>
      </w:r>
      <w:r w:rsidRPr="00472A23">
        <w:rPr>
          <w:rFonts w:ascii="仿宋_GB2312" w:eastAsia="仿宋_GB2312" w:hint="eastAsia"/>
          <w:sz w:val="32"/>
          <w:szCs w:val="32"/>
        </w:rPr>
        <w:lastRenderedPageBreak/>
        <w:t>计划按职责分工组织实施；做好分管计划指标的月度跟踪分析，及时向企划部提供相关分析材料；必要时</w:t>
      </w:r>
      <w:r w:rsidR="001E3EA3">
        <w:rPr>
          <w:rFonts w:ascii="仿宋_GB2312" w:eastAsia="仿宋_GB2312" w:hint="eastAsia"/>
          <w:sz w:val="32"/>
          <w:szCs w:val="32"/>
        </w:rPr>
        <w:t>针对</w:t>
      </w:r>
      <w:r w:rsidRPr="00472A23">
        <w:rPr>
          <w:rFonts w:ascii="仿宋_GB2312" w:eastAsia="仿宋_GB2312" w:hint="eastAsia"/>
          <w:sz w:val="32"/>
          <w:szCs w:val="32"/>
        </w:rPr>
        <w:t>分管指标向企划部提出调整建议。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第三章  内容与指标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第九条  预算监督（包括本年度预算完成情况），下一年度预算建议。对涉及投资和资金支出的大中型基建、小型基建、大修、研究开发、教育培训等要编制专项计划，提出规模控制建议，并细化到具体项目。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 w:hint="eastAsia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第十条  公司预算监督指标体系具体分类为</w:t>
      </w:r>
      <w:r w:rsidR="00675F40">
        <w:rPr>
          <w:rFonts w:ascii="仿宋_GB2312" w:eastAsia="仿宋_GB2312" w:hint="eastAsia"/>
          <w:sz w:val="32"/>
          <w:szCs w:val="32"/>
        </w:rPr>
        <w:t>以下4类。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1.发展指标：固定资产投资、大修投入、研究开发费投入、教育培训投入、管理咨询</w:t>
      </w:r>
      <w:proofErr w:type="gramStart"/>
      <w:r w:rsidRPr="00472A23">
        <w:rPr>
          <w:rFonts w:ascii="仿宋_GB2312" w:eastAsia="仿宋_GB2312" w:hint="eastAsia"/>
          <w:sz w:val="32"/>
          <w:szCs w:val="32"/>
        </w:rPr>
        <w:t>费投入</w:t>
      </w:r>
      <w:proofErr w:type="gramEnd"/>
      <w:r w:rsidR="00675F40">
        <w:rPr>
          <w:rFonts w:ascii="仿宋_GB2312" w:eastAsia="仿宋_GB2312" w:hint="eastAsia"/>
          <w:sz w:val="32"/>
          <w:szCs w:val="32"/>
        </w:rPr>
        <w:t>以及</w:t>
      </w:r>
      <w:r w:rsidRPr="00472A23">
        <w:rPr>
          <w:rFonts w:ascii="仿宋_GB2312" w:eastAsia="仿宋_GB2312" w:hint="eastAsia"/>
          <w:sz w:val="32"/>
          <w:szCs w:val="32"/>
        </w:rPr>
        <w:t>信息化建设投入等。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2.资产质量：资产总额、资产负债率、流动资产周转率</w:t>
      </w:r>
      <w:r w:rsidR="00675F40">
        <w:rPr>
          <w:rFonts w:ascii="仿宋_GB2312" w:eastAsia="仿宋_GB2312" w:hint="eastAsia"/>
          <w:sz w:val="32"/>
          <w:szCs w:val="32"/>
        </w:rPr>
        <w:t>和</w:t>
      </w:r>
      <w:r w:rsidRPr="00472A23">
        <w:rPr>
          <w:rFonts w:ascii="仿宋_GB2312" w:eastAsia="仿宋_GB2312" w:hint="eastAsia"/>
          <w:sz w:val="32"/>
          <w:szCs w:val="32"/>
        </w:rPr>
        <w:t>净资产收益率等。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3.经营业绩：营业收入、成本费用占主营业务收入比重、利润总额、可控费用、经营活动产生的现金流量净额、职工人数</w:t>
      </w:r>
      <w:r w:rsidR="00675F40">
        <w:rPr>
          <w:rFonts w:ascii="仿宋_GB2312" w:eastAsia="仿宋_GB2312" w:hint="eastAsia"/>
          <w:sz w:val="32"/>
          <w:szCs w:val="32"/>
        </w:rPr>
        <w:t>和</w:t>
      </w:r>
      <w:r w:rsidRPr="00472A23">
        <w:rPr>
          <w:rFonts w:ascii="仿宋_GB2312" w:eastAsia="仿宋_GB2312" w:hint="eastAsia"/>
          <w:sz w:val="32"/>
          <w:szCs w:val="32"/>
        </w:rPr>
        <w:t>工资总额等。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4.业务指标：电力设备制造销售合同额。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第四章  编制与审批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 xml:space="preserve">第十一条  </w:t>
      </w:r>
      <w:r w:rsidR="00CF492E" w:rsidRPr="00CF492E">
        <w:rPr>
          <w:rFonts w:ascii="仿宋_GB2312" w:eastAsia="仿宋_GB2312" w:hint="eastAsia"/>
          <w:sz w:val="32"/>
          <w:szCs w:val="32"/>
        </w:rPr>
        <w:t>财务部负责编制预算，编制后由企划部审核，最终经总经理办公会批准。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第五章   预算调整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第十二条  正式下达执行的预算，一般不予调整。各部门在预算执行中由于市场环境、经营条件、政策法规等发生重大变化，使财务预算的编制基础不成立，或者将导致预算</w:t>
      </w:r>
      <w:r w:rsidRPr="00472A23">
        <w:rPr>
          <w:rFonts w:ascii="仿宋_GB2312" w:eastAsia="仿宋_GB2312" w:hint="eastAsia"/>
          <w:sz w:val="32"/>
          <w:szCs w:val="32"/>
        </w:rPr>
        <w:lastRenderedPageBreak/>
        <w:t>执行结果产生重大偏差的，在以下情况下，可以调整预算</w:t>
      </w:r>
      <w:r w:rsidR="00675F40">
        <w:rPr>
          <w:rFonts w:ascii="仿宋_GB2312" w:eastAsia="仿宋_GB2312" w:hint="eastAsia"/>
          <w:sz w:val="32"/>
          <w:szCs w:val="32"/>
        </w:rPr>
        <w:t>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1.因执行公司政策而使减少收入或增加支出的。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2.政策发生变化，与预算口径不可比的。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3.国家、地方政府政策或行业政策发生重大变化，导致相关公司减少收入或增加支出的。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4.市场发生重大</w:t>
      </w:r>
      <w:proofErr w:type="gramStart"/>
      <w:r w:rsidRPr="00472A23">
        <w:rPr>
          <w:rFonts w:ascii="仿宋_GB2312" w:eastAsia="仿宋_GB2312" w:hint="eastAsia"/>
          <w:sz w:val="32"/>
          <w:szCs w:val="32"/>
        </w:rPr>
        <w:t>变化非</w:t>
      </w:r>
      <w:proofErr w:type="gramEnd"/>
      <w:r w:rsidRPr="00472A23">
        <w:rPr>
          <w:rFonts w:ascii="仿宋_GB2312" w:eastAsia="仿宋_GB2312" w:hint="eastAsia"/>
          <w:sz w:val="32"/>
          <w:szCs w:val="32"/>
        </w:rPr>
        <w:t>公司可以控制的</w:t>
      </w:r>
      <w:r w:rsidR="00675F40"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  <w:r w:rsidRPr="00472A23">
        <w:rPr>
          <w:rFonts w:ascii="仿宋_GB2312" w:eastAsia="仿宋_GB2312" w:hint="eastAsia"/>
          <w:sz w:val="32"/>
          <w:szCs w:val="32"/>
        </w:rPr>
        <w:t>如上游产品的材料价格上涨，导致中下游产品成本上升、利润下降，且超过了预算预测范围的。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5.发生人力不可抗拒因素</w:t>
      </w:r>
      <w:r w:rsidR="00675F40">
        <w:rPr>
          <w:rFonts w:ascii="仿宋_GB2312" w:eastAsia="仿宋_GB2312" w:hint="eastAsia"/>
          <w:sz w:val="32"/>
          <w:szCs w:val="32"/>
        </w:rPr>
        <w:t>。</w:t>
      </w:r>
      <w:r w:rsidRPr="00472A23">
        <w:rPr>
          <w:rFonts w:ascii="仿宋_GB2312" w:eastAsia="仿宋_GB2312" w:hint="eastAsia"/>
          <w:sz w:val="32"/>
          <w:szCs w:val="32"/>
        </w:rPr>
        <w:t>如洪水、地震导致企业停产</w:t>
      </w:r>
      <w:r w:rsidR="00675F40">
        <w:rPr>
          <w:rFonts w:ascii="仿宋_GB2312" w:eastAsia="仿宋_GB2312" w:hint="eastAsia"/>
          <w:sz w:val="32"/>
          <w:szCs w:val="32"/>
        </w:rPr>
        <w:t>和</w:t>
      </w:r>
      <w:r w:rsidRPr="00472A23">
        <w:rPr>
          <w:rFonts w:ascii="仿宋_GB2312" w:eastAsia="仿宋_GB2312" w:hint="eastAsia"/>
          <w:sz w:val="32"/>
          <w:szCs w:val="32"/>
        </w:rPr>
        <w:t>半停产等。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6.其他符合预算调整条件的情况。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第十三条  预算调整的程序</w:t>
      </w:r>
      <w:r w:rsidR="006E6806">
        <w:rPr>
          <w:rFonts w:ascii="仿宋_GB2312" w:eastAsia="仿宋_GB2312" w:hint="eastAsia"/>
          <w:sz w:val="32"/>
          <w:szCs w:val="32"/>
        </w:rPr>
        <w:t>：</w:t>
      </w:r>
      <w:r w:rsidRPr="00472A23">
        <w:rPr>
          <w:rFonts w:ascii="仿宋_GB2312" w:eastAsia="仿宋_GB2312" w:hint="eastAsia"/>
          <w:sz w:val="32"/>
          <w:szCs w:val="32"/>
        </w:rPr>
        <w:t>公司及各部门预算调整时应由企划部组织召开预算会议，研究讨论调整的原因、部门、时间、项目、额度。预算调整后，应形成书面文件，并由财务编制新的调整</w:t>
      </w:r>
      <w:proofErr w:type="gramStart"/>
      <w:r w:rsidRPr="00472A23">
        <w:rPr>
          <w:rFonts w:ascii="仿宋_GB2312" w:eastAsia="仿宋_GB2312" w:hint="eastAsia"/>
          <w:sz w:val="32"/>
          <w:szCs w:val="32"/>
        </w:rPr>
        <w:t>后预算</w:t>
      </w:r>
      <w:proofErr w:type="gramEnd"/>
      <w:r w:rsidRPr="00472A23">
        <w:rPr>
          <w:rFonts w:ascii="仿宋_GB2312" w:eastAsia="仿宋_GB2312" w:hint="eastAsia"/>
          <w:sz w:val="32"/>
          <w:szCs w:val="32"/>
        </w:rPr>
        <w:t>表，注明调整时间、具体执行时间并编写调整说明。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第十四条  预算调整的时间</w:t>
      </w:r>
      <w:r w:rsidR="00C60744">
        <w:rPr>
          <w:rFonts w:ascii="仿宋_GB2312" w:eastAsia="仿宋_GB2312" w:hint="eastAsia"/>
          <w:sz w:val="32"/>
          <w:szCs w:val="32"/>
        </w:rPr>
        <w:t>：</w:t>
      </w:r>
      <w:r w:rsidRPr="00472A23">
        <w:rPr>
          <w:rFonts w:ascii="仿宋_GB2312" w:eastAsia="仿宋_GB2312" w:hint="eastAsia"/>
          <w:sz w:val="32"/>
          <w:szCs w:val="32"/>
        </w:rPr>
        <w:t>预算原则上至多可以每季度调整一次，为更有效地实施预算控制，各部门内部预算的调整以及预算项目内部的调整，可以采取简化的程序进行，但相应制度应报公司企划部批准。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第十五条  年终预算考核以调整后的预算为准。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第六章  预算执行与控制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第十六条  预算一经批准下达，将预算指标层层分解，从横向和纵向落实到内部各部门、各环节和各岗位，落实各</w:t>
      </w:r>
      <w:r w:rsidRPr="00472A23">
        <w:rPr>
          <w:rFonts w:ascii="仿宋_GB2312" w:eastAsia="仿宋_GB2312" w:hint="eastAsia"/>
          <w:sz w:val="32"/>
          <w:szCs w:val="32"/>
        </w:rPr>
        <w:lastRenderedPageBreak/>
        <w:t>部门、环节、岗位的预算编制、执行、控制、报告的责任，形成全方位的财务预算执行责任体系。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第十七条  进一步加强预算执行的严肃性和约束力，原则上没有纳入预算计划的项目，不能安排资金支出。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第十八条  预算监督实行动态监控管理，公司按“</w:t>
      </w:r>
      <w:proofErr w:type="gramStart"/>
      <w:r w:rsidRPr="00472A23">
        <w:rPr>
          <w:rFonts w:ascii="仿宋_GB2312" w:eastAsia="仿宋_GB2312" w:hint="eastAsia"/>
          <w:sz w:val="32"/>
          <w:szCs w:val="32"/>
        </w:rPr>
        <w:t>月分</w:t>
      </w:r>
      <w:proofErr w:type="gramEnd"/>
      <w:r w:rsidRPr="00472A23">
        <w:rPr>
          <w:rFonts w:ascii="仿宋_GB2312" w:eastAsia="仿宋_GB2312" w:hint="eastAsia"/>
          <w:sz w:val="32"/>
          <w:szCs w:val="32"/>
        </w:rPr>
        <w:t>析、季通报、年考核”的方式，加强预算执行的管控；进一步完善跟踪分析制度，提高分析质量，加强信息反馈，形成闭环管理。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第七章  附则</w:t>
      </w:r>
    </w:p>
    <w:p w:rsidR="00472A23" w:rsidRPr="00472A23" w:rsidRDefault="00472A23" w:rsidP="00472A23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第十九条  本办法由企划部拟定并负责解释。</w:t>
      </w:r>
    </w:p>
    <w:p w:rsidR="00472A23" w:rsidRPr="00472A23" w:rsidRDefault="00472A23" w:rsidP="00472A2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72A23">
        <w:rPr>
          <w:rFonts w:ascii="仿宋_GB2312" w:eastAsia="仿宋_GB2312" w:hint="eastAsia"/>
          <w:sz w:val="32"/>
          <w:szCs w:val="32"/>
        </w:rPr>
        <w:t>第二十条  本办法自董事会审批后生效，修改、废止时亦同。</w:t>
      </w:r>
    </w:p>
    <w:sectPr w:rsidR="00472A23" w:rsidRPr="00472A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088" w:rsidRDefault="008B6088" w:rsidP="007669F3">
      <w:r>
        <w:separator/>
      </w:r>
    </w:p>
  </w:endnote>
  <w:endnote w:type="continuationSeparator" w:id="0">
    <w:p w:rsidR="008B6088" w:rsidRDefault="008B6088" w:rsidP="00766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088" w:rsidRDefault="008B6088" w:rsidP="007669F3">
      <w:r>
        <w:separator/>
      </w:r>
    </w:p>
  </w:footnote>
  <w:footnote w:type="continuationSeparator" w:id="0">
    <w:p w:rsidR="008B6088" w:rsidRDefault="008B6088" w:rsidP="007669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A23"/>
    <w:rsid w:val="001E3EA3"/>
    <w:rsid w:val="00341474"/>
    <w:rsid w:val="003E3547"/>
    <w:rsid w:val="00472A23"/>
    <w:rsid w:val="00675F40"/>
    <w:rsid w:val="006E6806"/>
    <w:rsid w:val="007669F3"/>
    <w:rsid w:val="008B6088"/>
    <w:rsid w:val="00B77578"/>
    <w:rsid w:val="00C60744"/>
    <w:rsid w:val="00CF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432ED7"/>
  <w15:chartTrackingRefBased/>
  <w15:docId w15:val="{4D50F846-F3D3-436E-92CD-2767E02CB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472A23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  <w:style w:type="paragraph" w:styleId="a4">
    <w:name w:val="header"/>
    <w:basedOn w:val="a"/>
    <w:link w:val="a5"/>
    <w:uiPriority w:val="99"/>
    <w:unhideWhenUsed/>
    <w:rsid w:val="00766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669F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66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669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2019-04-16T03:03:00Z</dcterms:created>
  <dcterms:modified xsi:type="dcterms:W3CDTF">2019-05-19T08:41:00Z</dcterms:modified>
</cp:coreProperties>
</file>